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Automontážník</w:t>
      </w:r>
      <w:bookmarkEnd w:id="1"/>
    </w:p>
    <w:p>
      <w:pPr/>
      <w:r>
        <w:rPr/>
        <w:t xml:space="preserve">Automontážník provádí pomocné, přípravné, montážní a obslužné práce při výrobě motorových vozidel nebo při jejich servisní činnosti.</w:t>
      </w:r>
    </w:p>
    <w:p/>
    <w:tbl>
      <w:tblGrid>
        <w:gridCol w:w="3000" w:type="dxa"/>
        <w:gridCol w:w="6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/>
            <w:r>
              <w:rPr>
                <w:b w:val="1"/>
                <w:bCs w:val="1"/>
              </w:rPr>
              <w:t xml:space="preserve">Odborný směr:</w:t>
            </w:r>
          </w:p>
        </w:tc>
        <w:tc>
          <w:tcPr>
            <w:tcW w:w="6000" w:type="dxa"/>
          </w:tcPr>
          <w:p>
            <w:pPr/>
            <w:r>
              <w:rPr/>
              <w:t xml:space="preserve">Strojírenství a automobilový průmysl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Odborný podsměr:</w:t>
            </w:r>
          </w:p>
        </w:tc>
        <w:tc>
          <w:tcPr/>
          <w:p>
            <w:pPr/>
            <w:r>
              <w:rPr/>
              <w:t xml:space="preserve">montáž, opravy a seřizování dopravních prostředků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Kvalifikační úroveň:</w:t>
            </w:r>
          </w:p>
        </w:tc>
        <w:tc>
          <w:tcPr/>
          <w:p>
            <w:pPr/>
            <w:r>
              <w:rPr/>
              <w:t xml:space="preserve">Základní vzdělání; Střední vzdělání bez výučního listu; Střední vzdělání s výučním listem dvouleté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Regulovaná jednotka práce:</w:t>
            </w:r>
          </w:p>
        </w:tc>
        <w:tc>
          <w:tcPr/>
          <w:p>
            <w:pPr/>
            <w:r>
              <w:rPr/>
              <w:t xml:space="preserve">ne</w:t>
            </w:r>
          </w:p>
        </w:tc>
      </w:tr>
    </w:tbl>
    <w:p/>
    <w:p>
      <w:pPr>
        <w:pStyle w:val="Heading2"/>
      </w:pPr>
      <w:bookmarkStart w:id="2" w:name="_Toc2"/>
      <w:r>
        <w:t>Pracovní činnosti</w:t>
      </w:r>
      <w:bookmarkEnd w:id="2"/>
    </w:p>
    <w:p>
      <w:pPr>
        <w:numPr>
          <w:ilvl w:val="0"/>
          <w:numId w:val="5"/>
        </w:numPr>
      </w:pPr>
      <w:r>
        <w:rPr/>
        <w:t xml:space="preserve">Manipulační práce, přípravné předmontážní práce a jednoduché servisní práce.</w:t>
      </w:r>
    </w:p>
    <w:p>
      <w:pPr>
        <w:numPr>
          <w:ilvl w:val="0"/>
          <w:numId w:val="5"/>
        </w:numPr>
      </w:pPr>
      <w:r>
        <w:rPr/>
        <w:t xml:space="preserve">Obsluha jednoduchých strojů a zařízení, poloautomatických nebo automatických montážních zařízení včetně jejich čištění.</w:t>
      </w:r>
    </w:p>
    <w:p>
      <w:pPr>
        <w:numPr>
          <w:ilvl w:val="0"/>
          <w:numId w:val="5"/>
        </w:numPr>
      </w:pPr>
      <w:r>
        <w:rPr/>
        <w:t xml:space="preserve">Montážní práce dílů, podkompletů a kompletů motorového vozidla včetně utěsňování příslušných dílů a jejich správného polohování (lícování).</w:t>
      </w:r>
    </w:p>
    <w:p>
      <w:pPr>
        <w:numPr>
          <w:ilvl w:val="0"/>
          <w:numId w:val="5"/>
        </w:numPr>
      </w:pPr>
      <w:r>
        <w:rPr/>
        <w:t xml:space="preserve">Provádění kontrolní činnosti úplnosti a kvality motorového vozidla.</w:t>
      </w:r>
    </w:p>
    <w:p>
      <w:pPr>
        <w:numPr>
          <w:ilvl w:val="0"/>
          <w:numId w:val="5"/>
        </w:numPr>
      </w:pPr>
      <w:r>
        <w:rPr/>
        <w:t xml:space="preserve">Evidence prováděných prací.</w:t>
      </w:r>
    </w:p>
    <w:p/>
    <w:p>
      <w:pPr>
        <w:pStyle w:val="Heading2"/>
      </w:pPr>
      <w:bookmarkStart w:id="3" w:name="_Toc3"/>
      <w:r>
        <w:t>CZ-ISCO</w:t>
      </w:r>
      <w:bookmarkEnd w:id="3"/>
    </w:p>
    <w:p>
      <w:pPr>
        <w:numPr>
          <w:ilvl w:val="0"/>
          <w:numId w:val="5"/>
        </w:numPr>
      </w:pPr>
      <w:r>
        <w:rPr/>
        <w:t xml:space="preserve">Montážní dělníci mechanických zařízení</w:t>
      </w:r>
    </w:p>
    <w:p>
      <w:pPr>
        <w:numPr>
          <w:ilvl w:val="0"/>
          <w:numId w:val="5"/>
        </w:numPr>
      </w:pPr>
      <w:r>
        <w:rPr/>
        <w:t xml:space="preserve">Montážní dělníci mechanických zařízení</w:t>
      </w:r>
    </w:p>
    <w:p/>
    <w:p>
      <w:pPr>
        <w:pStyle w:val="Heading3"/>
      </w:pPr>
      <w:bookmarkStart w:id="4" w:name="_Toc4"/>
      <w:r>
        <w:t>Hrubé měsíční mzdy podle krajů v roce 2025</w:t>
      </w:r>
      <w:bookmarkEnd w:id="4"/>
    </w:p>
    <w:p>
      <w:pPr>
        <w:pStyle w:val="Heading4"/>
      </w:pPr>
      <w:bookmarkStart w:id="5" w:name="_Toc5"/>
      <w:r>
        <w:t>Montážní dělníci mechanických zařízení (CZ-ISCO 8211)</w:t>
      </w:r>
      <w:bookmarkEnd w:id="5"/>
    </w:p>
    <w:tbl>
      <w:tblGrid>
        <w:gridCol w:w="2400" w:type="dxa"/>
        <w:gridCol w:w="1100" w:type="dxa"/>
        <w:gridCol w:w="1100" w:type="dxa"/>
        <w:gridCol w:w="1100" w:type="dxa"/>
        <w:gridCol w:w="1100" w:type="dxa"/>
        <w:gridCol w:w="1100" w:type="dxa"/>
        <w:gridCol w:w="11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400" w:type="dxa"/>
          </w:tcPr>
          <w:p/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2400" w:type="dxa"/>
          </w:tcPr>
          <w:p>
            <w:pPr/>
            <w:r>
              <w:rPr>
                <w:b w:val="1"/>
                <w:bCs w:val="1"/>
              </w:rPr>
              <w:t xml:space="preserve">Kraj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Hlavní město Praha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29 087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41 970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63 719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Středočeský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32 684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59 155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81 368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Jihočeský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31 626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43 733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52 401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Plzeňský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29 694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41 257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52 863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Liberecký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31 903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39 115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51 523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Královéhradecký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35 347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80 353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88 008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Pardubický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26 031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37 358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50 519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Kraj Vysočina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34 475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41 795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48 777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Moravskoslezský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32 903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48 638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62 897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</w:tbl>
    <w:p/>
    <w:p>
      <w:pPr>
        <w:pStyle w:val="Heading3"/>
      </w:pPr>
      <w:bookmarkStart w:id="6" w:name="_Toc6"/>
      <w:r>
        <w:t>Hrubé měsíční mzdy v roce 2025 celkem</w:t>
      </w:r>
      <w:bookmarkEnd w:id="6"/>
    </w:p>
    <w:tbl>
      <w:tblGrid>
        <w:gridCol w:w="1000" w:type="dxa"/>
        <w:gridCol w:w="2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  <w:gridSpan w:val="2"/>
          </w:tcPr>
          <w:p/>
        </w:tc>
        <w:tc>
          <w:tcPr>
            <w:tcW w:w="6000" w:type="dxa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 za ČR celkem</w:t>
            </w:r>
          </w:p>
        </w:tc>
      </w:tr>
      <w:tr>
        <w:trPr/>
        <w:tc>
          <w:tcPr>
            <w:tcW w:w="1000" w:type="dxa"/>
          </w:tcPr>
          <w:p>
            <w:pPr/>
            <w:r>
              <w:rPr>
                <w:b w:val="1"/>
                <w:bCs w:val="1"/>
              </w:rPr>
              <w:t xml:space="preserve">CZ-ISCO</w:t>
            </w:r>
          </w:p>
        </w:tc>
        <w:tc>
          <w:tcPr>
            <w:tcW w:w="2000" w:type="dxa"/>
          </w:tcPr>
          <w:p/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8211</w:t>
            </w:r>
          </w:p>
        </w:tc>
        <w:tc>
          <w:tcPr>
            <w:tcW w:w="2000" w:type="dxa"/>
          </w:tcPr>
          <w:p>
            <w:pPr/>
            <w:r>
              <w:rPr/>
              <w:t xml:space="preserve">Montážní dělníci mechanických zařízení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43 915 Kč</w:t>
            </w:r>
          </w:p>
        </w:tc>
      </w:tr>
    </w:tbl>
    <w:p/>
    <w:p>
      <w:pPr>
        <w:pStyle w:val="Heading2"/>
      </w:pPr>
      <w:bookmarkStart w:id="7" w:name="_Toc7"/>
      <w:r>
        <w:t>ESCO</w:t>
      </w:r>
      <w:bookmarkEnd w:id="7"/>
    </w:p>
    <w:tbl>
      <w:tblGrid>
        <w:gridCol w:w="3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 podskupiny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 podskupiny v ESCO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URL - podskupiny v ESCO</w:t>
            </w:r>
          </w:p>
        </w:tc>
      </w:tr>
      <w:tr>
        <w:trPr/>
        <w:tc>
          <w:tcPr>
            <w:tcW w:w="3000" w:type="dxa"/>
          </w:tcPr>
          <w:p>
            <w:pPr/>
            <w:r>
              <w:rPr/>
              <w:t xml:space="preserve">8211</w:t>
            </w:r>
          </w:p>
        </w:tc>
        <w:tc>
          <w:tcPr>
            <w:tcW w:w="3000" w:type="dxa"/>
          </w:tcPr>
          <w:p>
            <w:pPr/>
            <w:r>
              <w:rPr/>
              <w:t xml:space="preserve">Montážní dělníci mechanických zařízení</w:t>
            </w:r>
          </w:p>
        </w:tc>
        <w:tc>
          <w:tcPr>
            <w:tcW w:w="3000" w:type="dxa"/>
          </w:tcPr>
          <w:p>
            <w:pPr/>
            <w:r>
              <w:rPr/>
              <w:t xml:space="preserve">http://data.europa.eu/esco/isco/C8211</w:t>
            </w:r>
          </w:p>
        </w:tc>
      </w:tr>
    </w:tbl>
    <w:p/>
    <w:p/>
    <w:p/>
    <w:p>
      <w:pPr>
        <w:pStyle w:val="Heading2"/>
      </w:pPr>
      <w:bookmarkStart w:id="8" w:name="_Toc8"/>
      <w:r>
        <w:t>Pracovní podmínky</w:t>
      </w:r>
      <w:bookmarkEnd w:id="8"/>
    </w:p>
    <w:p>
      <w:pPr/>
      <w:r>
        <w:rPr/>
        <w:t xml:space="preserve">Rizikové faktory pracovních podmínek a vyskytující se druhy zátěže upravuje nařízení vlády č. 361/2007 Sb., kterým se stanoví podmínky ochrany zdraví při práci, zákon č. 258/2000 Sb., o ochraně veřejného zdraví a zákon č. 262/2006 Sb., zákoník práce. Vždy vyplývají z pracovních podmínek, které se vztahují ke konkrétnímu zaměstnavateli, tudíž se mohou u různých zaměstnavatelů lišit.</w:t>
      </w:r>
    </w:p>
    <w:p/>
    <w:p>
      <w:pPr/>
      <w:r>
        <w:rPr/>
        <w:t xml:space="preserve">Určení míry výskytu faktorů, které mohou ovlivnit zdraví při práci vychází z druhu práce vykonávané na pracovišti. Faktory se zařazují do čtyř kategorií dle míry zdravotního rizika a jeho vlivu na zdraví. O zařazení prací do třetí nebo čtvrté kategorie rozhoduje příslušný orgán ochrany veřejného zdraví.</w:t>
      </w:r>
    </w:p>
    <w:p/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1. Stupeň zátěže (minimální zdravotní riziko) - Faktor se při výkonu práce nevyskytuje nebo je zátěž faktorem minimální, vliv faktoru je ze zdravotního hlediska nevýznamný.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2. Stupeň zátěže (únosná míra zdravotního rizika) - Ze zdravotního hlediska je míra zátěže faktorem únosná, nepřekračuje limity stanovené předpisy, vliv faktoru je akceptovatelný pro zdravého člověka.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3. Stupeň zátěže (významná míra zdravotního rizika) - Úroveň zátěže překračuje stanovené limitní hodnoty expozice (zátěže), na pracovištích je nutná realizace náhradních technických a organizačních opatření, nelze vyloučit negativní vliv na zdraví pracovníků.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4. Stupeň zátěže (vysoká míra zdravotního rizika) - Úroveň zátěže vysoce překračuje stanovené limitní hodnoty expozice, na pracovištích musí být dodržován soubor preventivních opatření, častěji dochází k poškození zdraví.</w:t>
      </w:r>
    </w:p>
    <w:p/>
    <w:p/>
    <w:p>
      <w:pPr>
        <w:pStyle w:val="Heading2"/>
      </w:pPr>
      <w:bookmarkStart w:id="9" w:name="_Toc9"/>
      <w:r>
        <w:t>Kvalifikace k výkonu povolání</w:t>
      </w:r>
      <w:bookmarkEnd w:id="9"/>
    </w:p>
    <w:p>
      <w:pPr>
        <w:pStyle w:val="Heading3"/>
      </w:pPr>
      <w:bookmarkStart w:id="10" w:name="_Toc10"/>
      <w:r>
        <w:t>Školní vzdělání</w:t>
      </w:r>
      <w:bookmarkEnd w:id="10"/>
    </w:p>
    <w:p/>
    <w:p>
      <w:pPr>
        <w:pStyle w:val="Heading4"/>
      </w:pPr>
      <w:bookmarkStart w:id="11" w:name="_Toc11"/>
      <w:r>
        <w:t>Nejvhodnější školní přípravu poskytují obory:</w:t>
      </w:r>
      <w:bookmarkEnd w:id="11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Strojírenské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23-51-E/01</w:t>
            </w:r>
          </w:p>
        </w:tc>
      </w:tr>
    </w:tbl>
    <w:p/>
    <w:p>
      <w:pPr>
        <w:pStyle w:val="Heading4"/>
      </w:pPr>
      <w:bookmarkStart w:id="12" w:name="_Toc12"/>
      <w:r>
        <w:t>Vhodnou školní přípravu poskytují také obory:</w:t>
      </w:r>
      <w:bookmarkEnd w:id="12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Vzdělání nižší než středoškolské, které neposkytuje ani výuční list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xxxxC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výučním listem ve skupině oborů strojírenství a strojírenská výroba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23xxE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výučním listem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xxxxE</w:t>
            </w:r>
          </w:p>
        </w:tc>
      </w:tr>
    </w:tbl>
    <w:p/>
    <w:p>
      <w:pPr>
        <w:pStyle w:val="Heading2"/>
      </w:pPr>
      <w:bookmarkStart w:id="13" w:name="_Toc13"/>
      <w:r>
        <w:t>Kompetenční požadavky</w:t>
      </w:r>
      <w:bookmarkEnd w:id="13"/>
    </w:p>
    <w:p>
      <w:pPr>
        <w:pStyle w:val="Heading3"/>
      </w:pPr>
      <w:bookmarkStart w:id="14" w:name="_Toc14"/>
      <w:r>
        <w:t>Odborné dovednosti</w:t>
      </w:r>
      <w:bookmarkEnd w:id="14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e74.D.1051</w:t>
            </w:r>
          </w:p>
        </w:tc>
        <w:tc>
          <w:tcPr>
            <w:tcW w:w="3000" w:type="dxa"/>
          </w:tcPr>
          <w:p>
            <w:pPr/>
            <w:r>
              <w:rPr/>
              <w:t xml:space="preserve">Orientace v normách a v technické dokumentaci silničních motorových vozidel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e74.A.3032</w:t>
            </w:r>
          </w:p>
        </w:tc>
        <w:tc>
          <w:tcPr>
            <w:tcW w:w="3000" w:type="dxa"/>
          </w:tcPr>
          <w:p>
            <w:pPr/>
            <w:r>
              <w:rPr/>
              <w:t xml:space="preserve">Sestavování, montáž a demontáž dílů karosérií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e72.B.1901</w:t>
            </w:r>
          </w:p>
        </w:tc>
        <w:tc>
          <w:tcPr>
            <w:tcW w:w="3000" w:type="dxa"/>
          </w:tcPr>
          <w:p>
            <w:pPr/>
            <w:r>
              <w:rPr/>
              <w:t xml:space="preserve">Obsluha seřízených a nastavených výrobních strojů a linek ve strojírenství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e74.A.3031</w:t>
            </w:r>
          </w:p>
        </w:tc>
        <w:tc>
          <w:tcPr>
            <w:tcW w:w="3000" w:type="dxa"/>
          </w:tcPr>
          <w:p>
            <w:pPr/>
            <w:r>
              <w:rPr/>
              <w:t xml:space="preserve">Montáže a demontáže dílů a agregátů silničních motorových vozidel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e74.A.4731</w:t>
            </w:r>
          </w:p>
        </w:tc>
        <w:tc>
          <w:tcPr>
            <w:tcW w:w="3000" w:type="dxa"/>
          </w:tcPr>
          <w:p>
            <w:pPr/>
            <w:r>
              <w:rPr/>
              <w:t xml:space="preserve">Montáž a seřizování elektrických a elektronických systémů motorových vozidel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h13.B.4091</w:t>
            </w:r>
          </w:p>
        </w:tc>
        <w:tc>
          <w:tcPr>
            <w:tcW w:w="3000" w:type="dxa"/>
          </w:tcPr>
          <w:p>
            <w:pPr/>
            <w:r>
              <w:rPr/>
              <w:t xml:space="preserve">Obsluha strojů a zařízení určených pro pomocné, manipulační a obslužné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e74.A.5022</w:t>
            </w:r>
          </w:p>
        </w:tc>
        <w:tc>
          <w:tcPr>
            <w:tcW w:w="3000" w:type="dxa"/>
          </w:tcPr>
          <w:p>
            <w:pPr/>
            <w:r>
              <w:rPr/>
              <w:t xml:space="preserve">Ošetřování vozidel, ruční a mechanické čištění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5" w:name="_Toc15"/>
      <w:r>
        <w:t>Odborné znalosti</w:t>
      </w:r>
      <w:bookmarkEnd w:id="15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l24._.0001</w:t>
            </w:r>
          </w:p>
        </w:tc>
        <w:tc>
          <w:tcPr>
            <w:tcW w:w="3000" w:type="dxa"/>
          </w:tcPr>
          <w:p>
            <w:pPr/>
            <w:r>
              <w:rPr/>
              <w:t xml:space="preserve">bezpečnost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l24._.0002</w:t>
            </w:r>
          </w:p>
        </w:tc>
        <w:tc>
          <w:tcPr>
            <w:tcW w:w="3000" w:type="dxa"/>
          </w:tcPr>
          <w:p>
            <w:pPr/>
            <w:r>
              <w:rPr/>
              <w:t xml:space="preserve">zdraví a hygiena při práci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f22._.0002</w:t>
            </w:r>
          </w:p>
        </w:tc>
        <w:tc>
          <w:tcPr>
            <w:tcW w:w="3000" w:type="dxa"/>
          </w:tcPr>
          <w:p>
            <w:pPr/>
            <w:r>
              <w:rPr/>
              <w:t xml:space="preserve">nakládání s odpady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e81._.0062</w:t>
            </w:r>
          </w:p>
        </w:tc>
        <w:tc>
          <w:tcPr>
            <w:tcW w:w="3000" w:type="dxa"/>
          </w:tcPr>
          <w:p>
            <w:pPr/>
            <w:r>
              <w:rPr/>
              <w:t xml:space="preserve">autoelektronika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e75._.0005</w:t>
            </w:r>
          </w:p>
        </w:tc>
        <w:tc>
          <w:tcPr>
            <w:tcW w:w="3000" w:type="dxa"/>
          </w:tcPr>
          <w:p>
            <w:pPr/>
            <w:r>
              <w:rPr/>
              <w:t xml:space="preserve">strojní součásti a polotovary a jejich parametry (rozměry, jakost povrchu aj.)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e74._.0014</w:t>
            </w:r>
          </w:p>
        </w:tc>
        <w:tc>
          <w:tcPr>
            <w:tcW w:w="3000" w:type="dxa"/>
          </w:tcPr>
          <w:p>
            <w:pPr/>
            <w:r>
              <w:rPr/>
              <w:t xml:space="preserve">části motorových vozidel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6" w:name="_Toc16"/>
      <w:r>
        <w:t>Digitální kompetence</w:t>
      </w:r>
      <w:bookmarkEnd w:id="16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Prohlížení, vyhledávání a filtrování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5.3</w:t>
            </w:r>
          </w:p>
        </w:tc>
        <w:tc>
          <w:tcPr>
            <w:tcW w:w="5000" w:type="dxa"/>
          </w:tcPr>
          <w:p>
            <w:pPr/>
            <w:r>
              <w:rPr/>
              <w:t xml:space="preserve">Kreativní využívání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5.2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potřeb a výběr vhodných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5.1</w:t>
            </w:r>
          </w:p>
        </w:tc>
        <w:tc>
          <w:tcPr>
            <w:tcW w:w="5000" w:type="dxa"/>
          </w:tcPr>
          <w:p>
            <w:pPr/>
            <w:r>
              <w:rPr/>
              <w:t xml:space="preserve">Řešení technických problémů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životního prostředí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4.3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zdraví a duševní pohody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osobních dat a soukromí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zařízení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Autorská práva a licence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3.2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Integrace a přepracování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3.1</w:t>
            </w:r>
          </w:p>
        </w:tc>
        <w:tc>
          <w:tcPr>
            <w:tcW w:w="5000" w:type="dxa"/>
          </w:tcPr>
          <w:p>
            <w:pPr/>
            <w:r>
              <w:rPr/>
              <w:t xml:space="preserve">Tvorba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2.5</w:t>
            </w:r>
          </w:p>
        </w:tc>
        <w:tc>
          <w:tcPr>
            <w:tcW w:w="5000" w:type="dxa"/>
          </w:tcPr>
          <w:p>
            <w:pPr/>
            <w:r>
              <w:rPr/>
              <w:t xml:space="preserve">Netiketa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Spolupráce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Sdílení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Interakce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Správa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Hodnocení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5.4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nedostatků v digitálních kompetencích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https://nsp.cz/downloads/Priloha_c15_manualu.pdf</w:t>
      </w:r>
    </w:p>
    <w:p/>
    <w:p>
      <w:pPr>
        <w:pStyle w:val="Heading3"/>
      </w:pPr>
      <w:bookmarkStart w:id="17" w:name="_Toc17"/>
      <w:r>
        <w:t>Měkké kompetence</w:t>
      </w:r>
      <w:bookmarkEnd w:id="17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0-5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efektivní komunikaci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2.6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vedení lidí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0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objevování a orientaci v informacích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zvládání stresu a zátěže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aktivnímu přístupu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celoživotnímu vzdělávání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plánování a organizování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řešení problémů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4.5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samostatnosti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4.6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výkonnosti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orientaci na zákazníka a uspokojování zákaznických potřeb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0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flexibilitě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kreativitě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kooperaci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ovlivňování a rozvíjení ostatních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0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https://nsp.cz/downloads/Priloha_c9_manualu.pdf</w:t>
      </w:r>
    </w:p>
    <w:p/>
    <w:p>
      <w:pPr>
        <w:pStyle w:val="Heading2"/>
      </w:pPr>
      <w:bookmarkStart w:id="18" w:name="_Toc18"/>
      <w:r>
        <w:t>Zdravotní podmínky</w:t>
      </w:r>
      <w:bookmarkEnd w:id="18"/>
    </w:p>
    <w:p>
      <w:pPr>
        <w:pStyle w:val="Heading3"/>
      </w:pPr>
      <w:bookmarkStart w:id="19" w:name="_Toc19"/>
      <w:r>
        <w:t>Onemocnění omezující výkon povolání / specializace povolání.</w:t>
      </w:r>
      <w:bookmarkEnd w:id="19"/>
    </w:p>
    <w:p>
      <w:pPr>
        <w:numPr>
          <w:ilvl w:val="0"/>
          <w:numId w:val="5"/>
        </w:numPr>
      </w:pPr>
      <w:r>
        <w:rPr/>
        <w:t xml:space="preserve">Závažná degenerativní a zánětlivá onemocnění pohybového systému</w:t>
      </w:r>
    </w:p>
    <w:p>
      <w:pPr>
        <w:numPr>
          <w:ilvl w:val="0"/>
          <w:numId w:val="5"/>
        </w:numPr>
      </w:pPr>
      <w:r>
        <w:rPr/>
        <w:t xml:space="preserve">Prognosticky závažná endokrinní onemocnění včetně diabetes mellitus</w:t>
      </w:r>
    </w:p>
    <w:p>
      <w:pPr>
        <w:numPr>
          <w:ilvl w:val="0"/>
          <w:numId w:val="5"/>
        </w:numPr>
      </w:pPr>
      <w:r>
        <w:rPr/>
        <w:t xml:space="preserve">Duševní poruchy a poruchy chování</w:t>
      </w:r>
    </w:p>
    <w:p>
      <w:pPr>
        <w:numPr>
          <w:ilvl w:val="0"/>
          <w:numId w:val="5"/>
        </w:numPr>
      </w:pPr>
      <w:r>
        <w:rPr/>
        <w:t xml:space="preserve">Drogová závislost v anamnéze</w:t>
      </w:r>
    </w:p>
    <w:p>
      <w:pPr>
        <w:numPr>
          <w:ilvl w:val="0"/>
          <w:numId w:val="5"/>
        </w:numPr>
      </w:pPr>
      <w:r>
        <w:rPr/>
        <w:t xml:space="preserve">Závažná nervová onemocnění a psychosomatická onemocnění</w:t>
      </w:r>
    </w:p>
    <w:p>
      <w:pPr>
        <w:numPr>
          <w:ilvl w:val="0"/>
          <w:numId w:val="5"/>
        </w:numPr>
      </w:pPr>
      <w:r>
        <w:rPr/>
        <w:t xml:space="preserve">Závažné stavy po úrazech či operacích pohybového systému</w:t>
      </w:r>
    </w:p>
    <w:p>
      <w:pPr>
        <w:pStyle w:val="Heading3"/>
      </w:pPr>
      <w:bookmarkStart w:id="20" w:name="_Toc20"/>
      <w:r>
        <w:t>Onemocnění vylučující výkon povolání / specializace povolání.e</w:t>
      </w:r>
      <w:bookmarkEnd w:id="20"/>
    </w:p>
    <w:p>
      <w:pPr>
        <w:numPr>
          <w:ilvl w:val="0"/>
          <w:numId w:val="5"/>
        </w:numPr>
      </w:pPr>
      <w:r>
        <w:rPr/>
        <w:t xml:space="preserve">Prognosticky závažná onemocnění cév a nervů horních končetin</w:t>
      </w:r>
    </w:p>
    <w:p>
      <w:pPr>
        <w:numPr>
          <w:ilvl w:val="0"/>
          <w:numId w:val="5"/>
        </w:numPr>
      </w:pPr>
      <w:r>
        <w:rPr/>
        <w:t xml:space="preserve">Záchvatovité a kolapsové stavy</w:t>
      </w:r>
    </w:p>
    <w:p>
      <w:pPr/>
      <w:r>
        <w:rPr>
          <w:sz w:val="16"/>
          <w:szCs w:val="16"/>
          <w:i w:val="1"/>
          <w:iCs w:val="1"/>
        </w:rPr>
        <w:t xml:space="preserve">Přesné posouzení zdravotního stavu s následným doporučením nebo nedoporučením výkonu této pozice je možné pouze po konzultaci s lékařem.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nsid w:val="3645D8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120"/>
    </w:pPr>
    <w:rPr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spacing w:after="80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spacing w:after="60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spacing w:after="6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FDV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NSP.CZ</dc:creator>
  <dc:title>Automontážník</dc:title>
  <dc:description>Automontážník provádí pomocné, přípravné, montážní a obslužné práce při výrobě motorových vozidel nebo při jejich servisní činnosti.</dc:description>
  <dc:subject/>
  <cp:keywords/>
  <cp:category>Povolání</cp:category>
  <cp:lastModifiedBy/>
  <dcterms:created xsi:type="dcterms:W3CDTF">2017-11-22T09:13:57+01:00</dcterms:created>
  <dcterms:modified xsi:type="dcterms:W3CDTF">2024-03-26T10:03:33+01:00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