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metodik v pojišťovnictví</w:t>
      </w:r>
      <w:bookmarkEnd w:id="1"/>
    </w:p>
    <w:p>
      <w:pPr/>
      <w:r>
        <w:rPr/>
        <w:t xml:space="preserve">Hlavní metodik v pojišťovnictví vytváří metodiku pracovních postupů v odborných činnostech pojišťovny.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interních směrnic a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Ověřování metodiky při aplikaci v příslušném oboru činnosti.</w:t>
      </w:r>
    </w:p>
    <w:p>
      <w:pPr>
        <w:numPr>
          <w:ilvl w:val="0"/>
          <w:numId w:val="5"/>
        </w:numPr>
      </w:pPr>
      <w:r>
        <w:rPr/>
        <w:t xml:space="preserve">Poskytování metodické, poradenské činnosti.</w:t>
      </w:r>
    </w:p>
    <w:p>
      <w:pPr>
        <w:numPr>
          <w:ilvl w:val="0"/>
          <w:numId w:val="5"/>
        </w:numPr>
      </w:pPr>
      <w:r>
        <w:rPr/>
        <w:t xml:space="preserve">Sledování metod používaných v zahraničí a využívání jejich poznatků.</w:t>
      </w:r>
    </w:p>
    <w:p>
      <w:pPr>
        <w:numPr>
          <w:ilvl w:val="0"/>
          <w:numId w:val="5"/>
        </w:numPr>
      </w:pPr>
      <w:r>
        <w:rPr/>
        <w:t xml:space="preserve">Spolupráce s ostatními útvary.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variant nabídek programů pojistné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nestandartních případů z oblasti vzniku, správy a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570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metodik v pojišťovnictví</dc:title>
  <dc:description>Hlavní metodik v pojišťovnictví vytváří metodiku pracovních postupů v odborných činnostech pojišťovny.</dc:description>
  <dc:subject/>
  <cp:keywords/>
  <cp:category>Specializace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