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plánovacích podkladů</w:t>
      </w:r>
      <w:bookmarkEnd w:id="1"/>
    </w:p>
    <w:p>
      <w:pPr/>
      <w:r>
        <w:rPr/>
        <w:t xml:space="preserve">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Vypracovávání celostátních koncepcí tvorby UAP.</w:t>
      </w:r>
    </w:p>
    <w:p>
      <w:pPr>
        <w:numPr>
          <w:ilvl w:val="0"/>
          <w:numId w:val="5"/>
        </w:numPr>
      </w:pPr>
      <w:r>
        <w:rPr/>
        <w:t xml:space="preserve">Tvorba návrhů právní úpravy UAP – návrhy zákonných i podzákonných právních předpisů  v části ÚAP.</w:t>
      </w:r>
    </w:p>
    <w:p>
      <w:pPr>
        <w:numPr>
          <w:ilvl w:val="0"/>
          <w:numId w:val="5"/>
        </w:numPr>
      </w:pPr>
      <w:r>
        <w:rPr/>
        <w:t xml:space="preserve">Sledování návaznosti a koordinace problematiky UAP při vypracovávání dílčích stanovisek k návrhům právních předpisů jiných orgánů.</w:t>
      </w:r>
    </w:p>
    <w:p>
      <w:pPr>
        <w:numPr>
          <w:ilvl w:val="0"/>
          <w:numId w:val="5"/>
        </w:numPr>
      </w:pPr>
      <w:r>
        <w:rPr/>
        <w:t xml:space="preserve">Tvorba metodických návodů pro usměrňování a sjednocování výkonu státní správy a praxi orgánů územního plánování na úseku UAP.</w:t>
      </w:r>
    </w:p>
    <w:p>
      <w:pPr>
        <w:numPr>
          <w:ilvl w:val="0"/>
          <w:numId w:val="5"/>
        </w:numPr>
      </w:pPr>
      <w:r>
        <w:rPr/>
        <w:t xml:space="preserve">Pořizování  ÚAP  na úrovni obcí s rozšířenou působností a krajů na základě průzkumů území a údajů o území, získávaných od tzv. poskytovatelů údajů a jejich projednání.</w:t>
      </w:r>
    </w:p>
    <w:p>
      <w:pPr>
        <w:numPr>
          <w:ilvl w:val="0"/>
          <w:numId w:val="5"/>
        </w:numPr>
      </w:pPr>
      <w:r>
        <w:rPr/>
        <w:t xml:space="preserve">Aktualizace ÚAP - průběžná činnost pořizovatele.</w:t>
      </w:r>
    </w:p>
    <w:p>
      <w:pPr>
        <w:numPr>
          <w:ilvl w:val="0"/>
          <w:numId w:val="5"/>
        </w:numPr>
      </w:pPr>
      <w:r>
        <w:rPr/>
        <w:t xml:space="preserve">Pořizování územní studie a vložení dat o jejím pořízení do Evidence územně plánovací činnosti.</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plánování ČR</w:t>
            </w:r>
          </w:p>
        </w:tc>
        <w:tc>
          <w:tcPr>
            <w:tcW w:w="2000" w:type="dxa"/>
          </w:tcPr>
          <w:p>
            <w:pPr>
              <w:jc w:val="center"/>
            </w:pPr>
            <w:r>
              <w:rPr/>
              <w:t xml:space="preserve">13</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právo a právní věda</w:t>
            </w:r>
          </w:p>
        </w:tc>
        <w:tc>
          <w:tcPr>
            <w:tcW w:w="2000" w:type="dxa"/>
          </w:tcPr>
          <w:p>
            <w:pPr>
              <w:jc w:val="center"/>
            </w:pPr>
            <w:r>
              <w:rPr/>
              <w:t xml:space="preserve">6805T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r>
        <w:trPr/>
        <w:tc>
          <w:tcPr>
            <w:tcW w:w="2000" w:type="dxa"/>
          </w:tcPr>
          <w:p>
            <w:pPr>
              <w:jc w:val="center"/>
            </w:pPr>
            <w:r>
              <w:rPr/>
              <w:t xml:space="preserve">KKOV</w:t>
            </w:r>
          </w:p>
        </w:tc>
        <w:tc>
          <w:tcPr>
            <w:tcW w:w="5000" w:type="dxa"/>
          </w:tcPr>
          <w:p>
            <w:pPr/>
            <w:r>
              <w:rPr/>
              <w:t xml:space="preserve">Bakalářský studijní program v oboru právo a právní věda</w:t>
            </w:r>
          </w:p>
        </w:tc>
        <w:tc>
          <w:tcPr>
            <w:tcW w:w="2000" w:type="dxa"/>
          </w:tcPr>
          <w:p>
            <w:pPr>
              <w:jc w:val="center"/>
            </w:pPr>
            <w:r>
              <w:rPr/>
              <w:t xml:space="preserve">6805R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3486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plánovacích podkladů</dc:title>
  <dc:description>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dc:description>
  <dc:subject/>
  <cp:keywords/>
  <cp:category>Specializace</cp:category>
  <cp:lastModifiedBy/>
  <dcterms:created xsi:type="dcterms:W3CDTF">2017-11-22T09:13:21+01:00</dcterms:created>
  <dcterms:modified xsi:type="dcterms:W3CDTF">2017-11-22T09:43:01+01:00</dcterms:modified>
</cp:coreProperties>
</file>

<file path=docProps/custom.xml><?xml version="1.0" encoding="utf-8"?>
<Properties xmlns="http://schemas.openxmlformats.org/officeDocument/2006/custom-properties" xmlns:vt="http://schemas.openxmlformats.org/officeDocument/2006/docPropsVTypes"/>
</file>