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Metodik bankovních hotovostních operací</w:t>
      </w:r>
      <w:bookmarkEnd w:id="1"/>
    </w:p>
    <w:p>
      <w:pPr/>
      <w:r>
        <w:rPr/>
        <w:t xml:space="preserve">Metodik bankovních hotovostních operací provádí zajišťování tvorby dílčích materiálů v oblasti koncepce hotovostních operací a zahraničních šeků.</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Treasury Specialist</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dílčích materiálů v oblasti koncepce hotovostních operací a zahraničních šeků.</w:t>
      </w:r>
    </w:p>
    <w:p>
      <w:pPr>
        <w:numPr>
          <w:ilvl w:val="0"/>
          <w:numId w:val="5"/>
        </w:numPr>
      </w:pPr>
      <w:r>
        <w:rPr/>
        <w:t xml:space="preserve">Vypracovávání konkrétních postupů hotovostních operací a zahraničních šeků a jejich aktualizace.</w:t>
      </w:r>
    </w:p>
    <w:p>
      <w:pPr>
        <w:numPr>
          <w:ilvl w:val="0"/>
          <w:numId w:val="5"/>
        </w:numPr>
      </w:pPr>
      <w:r>
        <w:rPr/>
        <w:t xml:space="preserve">Rozhodování v případech nestandardních situací.</w:t>
      </w:r>
    </w:p>
    <w:p>
      <w:pPr>
        <w:numPr>
          <w:ilvl w:val="0"/>
          <w:numId w:val="5"/>
        </w:numPr>
      </w:pPr>
      <w:r>
        <w:rPr/>
        <w:t xml:space="preserve">Zajišťování jednotného uplatňování metod a pracovních postupů.</w:t>
      </w:r>
    </w:p>
    <w:p>
      <w:pPr>
        <w:numPr>
          <w:ilvl w:val="0"/>
          <w:numId w:val="5"/>
        </w:numPr>
      </w:pPr>
      <w:r>
        <w:rPr/>
        <w:t xml:space="preserve">Provádění konzultační a lektorské činnosti.</w:t>
      </w:r>
    </w:p>
    <w:p/>
    <w:p>
      <w:pPr>
        <w:pStyle w:val="Heading2"/>
      </w:pPr>
      <w:bookmarkStart w:id="3" w:name="_Toc3"/>
      <w:r>
        <w:t>CZ-ISCO</w:t>
      </w:r>
      <w:bookmarkEnd w:id="3"/>
    </w:p>
    <w:p>
      <w:pPr>
        <w:numPr>
          <w:ilvl w:val="0"/>
          <w:numId w:val="5"/>
        </w:numPr>
      </w:pPr>
      <w:r>
        <w:rPr/>
        <w:t xml:space="preserve">Ostatní odborní pracovníci v oblasti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33129</w:t>
            </w:r>
          </w:p>
        </w:tc>
        <w:tc>
          <w:tcPr>
            <w:tcW w:w="2000" w:type="dxa"/>
          </w:tcPr>
          <w:p>
            <w:pPr/>
            <w:r>
              <w:rPr/>
              <w:t xml:space="preserve">Ostatní odborní pracovníci v oblasti peněžnictví</w:t>
            </w:r>
          </w:p>
        </w:tc>
        <w:tc>
          <w:tcPr>
            <w:tcW w:w="1000" w:type="dxa"/>
          </w:tcPr>
          <w:p>
            <w:pPr>
              <w:jc w:val="center"/>
            </w:pPr>
            <w:r>
              <w:rPr/>
              <w:t xml:space="preserve">-</w:t>
            </w:r>
          </w:p>
        </w:tc>
        <w:tc>
          <w:tcPr>
            <w:tcW w:w="1000" w:type="dxa"/>
          </w:tcPr>
          <w:p>
            <w:pPr>
              <w:jc w:val="center"/>
            </w:pPr>
            <w:r>
              <w:rPr/>
              <w:t xml:space="preserve">47 123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i11.D.8307</w:t>
            </w:r>
          </w:p>
        </w:tc>
        <w:tc>
          <w:tcPr>
            <w:tcW w:w="3000" w:type="dxa"/>
          </w:tcPr>
          <w:p>
            <w:pPr/>
            <w:r>
              <w:rPr/>
              <w:t xml:space="preserve">Vedení požadovaných bankovních agend a evidencí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i11.D.2311</w:t>
            </w:r>
          </w:p>
        </w:tc>
        <w:tc>
          <w:tcPr>
            <w:tcW w:w="3000" w:type="dxa"/>
          </w:tcPr>
          <w:p>
            <w:pPr/>
            <w:r>
              <w:rPr/>
              <w:t xml:space="preserve">Volba metod řešení či postupů při nestandardních hotovostních operacích nebo nestandardních operacích se zahraničními šeky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i11.D.2312</w:t>
            </w:r>
          </w:p>
        </w:tc>
        <w:tc>
          <w:tcPr>
            <w:tcW w:w="3000" w:type="dxa"/>
          </w:tcPr>
          <w:p>
            <w:pPr/>
            <w:r>
              <w:rPr/>
              <w:t xml:space="preserve">Vypracovávání konkrétních postupů hotovostních operací a zahraničních šeků včetně tvorby vnitřních předpisů banky pro jednotlivé činnosti v této oblasti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i11.D.3319</w:t>
            </w:r>
          </w:p>
        </w:tc>
        <w:tc>
          <w:tcPr>
            <w:tcW w:w="3000" w:type="dxa"/>
          </w:tcPr>
          <w:p>
            <w:pPr/>
            <w:r>
              <w:rPr/>
              <w:t xml:space="preserve">Kontrola dodržování jednotného uplatňování metod a pracovních postupů při provádění hotovostních operací a operací s šeky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i11.D.8309</w:t>
            </w:r>
          </w:p>
        </w:tc>
        <w:tc>
          <w:tcPr>
            <w:tcW w:w="3000" w:type="dxa"/>
          </w:tcPr>
          <w:p>
            <w:pPr/>
            <w:r>
              <w:rPr/>
              <w:t xml:space="preserve">Zpracovávání podkladů pro oceňování bankovních služeb</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i11.C.1313</w:t>
            </w:r>
          </w:p>
        </w:tc>
        <w:tc>
          <w:tcPr>
            <w:tcW w:w="3000" w:type="dxa"/>
          </w:tcPr>
          <w:p>
            <w:pPr/>
            <w:r>
              <w:rPr/>
              <w:t xml:space="preserve">Poskytování konzultací a poradenské činnosti v oblasti hotovostních operací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i11.C.2301</w:t>
            </w:r>
          </w:p>
        </w:tc>
        <w:tc>
          <w:tcPr>
            <w:tcW w:w="3000" w:type="dxa"/>
          </w:tcPr>
          <w:p>
            <w:pPr/>
            <w:r>
              <w:rPr/>
              <w:t xml:space="preserve">Projednávání metod a způsobů řešení nestandardních operací s jinými (i zahraničními) peněžními ústavy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i11.C.6301</w:t>
            </w:r>
          </w:p>
        </w:tc>
        <w:tc>
          <w:tcPr>
            <w:tcW w:w="3000" w:type="dxa"/>
          </w:tcPr>
          <w:p>
            <w:pPr/>
            <w:r>
              <w:rPr/>
              <w:t xml:space="preserve">Provádění lektorské činnosti v oblasti bankovních hotovostních operací</w:t>
            </w:r>
          </w:p>
        </w:tc>
        <w:tc>
          <w:tcPr>
            <w:tcW w:w="2000" w:type="dxa"/>
          </w:tcPr>
          <w:p>
            <w:pPr>
              <w:jc w:val="center"/>
            </w:pPr>
            <w:r>
              <w:rPr/>
              <w:t xml:space="preserve">6</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i13._.0044</w:t>
            </w:r>
          </w:p>
        </w:tc>
        <w:tc>
          <w:tcPr>
            <w:tcW w:w="3000" w:type="dxa"/>
          </w:tcPr>
          <w:p>
            <w:pPr/>
            <w:r>
              <w:rPr/>
              <w:t xml:space="preserve">principy obchodování s cennými papíry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i13._.0045</w:t>
            </w:r>
          </w:p>
        </w:tc>
        <w:tc>
          <w:tcPr>
            <w:tcW w:w="3000" w:type="dxa"/>
          </w:tcPr>
          <w:p>
            <w:pPr/>
            <w:r>
              <w:rPr/>
              <w:t xml:space="preserve">kapitálové trhy, makléřská činnost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04E8B79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Metodik bankovních hotovostních operací</dc:title>
  <dc:description>Metodik bankovních hotovostních operací provádí zajišťování tvorby dílčích materiálů v oblasti koncepce hotovostních operací a zahraničních šeků.</dc:description>
  <dc:subject/>
  <cp:keywords/>
  <cp:category>Specializace</cp:category>
  <cp:lastModifiedBy/>
  <dcterms:created xsi:type="dcterms:W3CDTF">2017-11-22T09:12:40+01:00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