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Choreograf</w:t>
      </w:r>
      <w:bookmarkEnd w:id="1"/>
    </w:p>
    <w:p>
      <w:pPr/>
      <w:r>
        <w:rPr/>
        <w:t xml:space="preserve">Choreograf tvůrčím způsobem vytváří taneční, baletní nebo pantomimické inscenace, popřípadě taneční či pohybové složky činoherních, muzikálových, operních, operetních nebo jiných divadelních inscenací.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Choreographer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nových tanečních, baletních nebo pantomimických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činoherních, muzikálových, operních, operetních nebo jiných divadelních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pro film, televizi nebo jiná média.</w:t>
      </w:r>
    </w:p>
    <w:p>
      <w:pPr>
        <w:numPr>
          <w:ilvl w:val="0"/>
          <w:numId w:val="5"/>
        </w:numPr>
      </w:pPr>
      <w:r>
        <w:rPr/>
        <w:t xml:space="preserve">Vyhledávání folklórního materiálu pro soubory lidových tanců.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sólistů.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na zkouškách.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na tvorbě pracovních plánů uměleckého souboru.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Choreografové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vystoupení s tanečníky.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divadelní a filmová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1DA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Choreograf</dc:title>
  <dc:description>Choreograf tvůrčím způsobem vytváří taneční, baletní nebo pantomimické inscenace, popřípadě taneční či pohybové složky činoherních, muzikálových, operních, operetních nebo jiných divadelních inscenací.</dc:description>
  <dc:subject/>
  <cp:keywords/>
  <cp:category>Povolání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