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vojenských a dalších stavebních úřadů</w:t>
      </w:r>
      <w:bookmarkEnd w:id="1"/>
    </w:p>
    <w:p>
      <w:pPr/>
      <w:r>
        <w:rPr/>
        <w:t xml:space="preserve">Referent specialista ostatního výkonu státní správy stavebního řádu vytváří, navrhuje a koordinuje kontrolní systémy a koordinuje a usměrňuje zabezpečování úkolů stavebního řádu na všech úrovních úřadů. </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stavebního řádu</w:t>
            </w:r>
          </w:p>
        </w:tc>
      </w:tr>
      <w:tr>
        <w:trPr/>
        <w:tc>
          <w:tcPr/>
          <w:p>
            <w:pPr/>
            <w:r>
              <w:rPr>
                <w:b w:val="1"/>
                <w:bCs w:val="1"/>
              </w:rPr>
              <w:t xml:space="preserve">Příbuzné specializace:</w:t>
            </w:r>
          </w:p>
        </w:tc>
        <w:tc>
          <w:tcPr/>
          <w:p>
            <w:pPr/>
            <w:r>
              <w:rPr/>
              <w:t xml:space="preserve">Referent specialista speciálního stavebního úřadu ve věcech leteckých, Referent specialista speciálního stavebního úřadu ve věcech vodních děl, Referent specialista vojenských a dalších stavebních úřadů, Referent specialista povolování staveb, Referent specialista speciálního stavebního úřadu ve věcech staveb pozemních komunikací, Referent specialista ostatního výkonu státní správy stavebního řádu, Referent specialista speciálního stavebního úřadu ve věcech staveb drah a na dráze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Výkon působnosti v rozsahu obecného stavebního úřadu s výjimkou územního rozhodování na území vojenských újezdů.</w:t>
      </w:r>
    </w:p>
    <w:p>
      <w:pPr>
        <w:numPr>
          <w:ilvl w:val="0"/>
          <w:numId w:val="5"/>
        </w:numPr>
      </w:pPr>
      <w:r>
        <w:rPr/>
        <w:t xml:space="preserve">Výkon působnosti v rozsahu obecného stavebního úřadu výjimkou územního rozhodování u staveb zřizovaných ministerstvem,  důležitých pro obranu státu mimo území vojenských újezdů.</w:t>
      </w:r>
    </w:p>
    <w:p>
      <w:pPr>
        <w:numPr>
          <w:ilvl w:val="0"/>
          <w:numId w:val="5"/>
        </w:numPr>
      </w:pPr>
      <w:r>
        <w:rPr/>
        <w:t xml:space="preserve">Výkon působnosti v rozsahu obecného stavebního úřadu výjimkou územního rozhodování u staveb zřizovaných ministerstvem nebo jeho organizačními složkami např. Policie ČR, Hasičský záchranný sbor,  pro bezpečnost státu.</w:t>
      </w:r>
    </w:p>
    <w:p>
      <w:pPr>
        <w:numPr>
          <w:ilvl w:val="0"/>
          <w:numId w:val="5"/>
        </w:numPr>
      </w:pPr>
      <w:r>
        <w:rPr/>
        <w:t xml:space="preserve">Výkon působnosti v rozsahu obecného stavebního úřadu výjimkou územního rozhodování u staveb sloužících k plnění úkolů ministerstva a staveb pro služební účely Vězeňské služby a jejích organizačních složek.</w:t>
      </w:r>
    </w:p>
    <w:p>
      <w:pPr>
        <w:numPr>
          <w:ilvl w:val="0"/>
          <w:numId w:val="5"/>
        </w:numPr>
      </w:pPr>
      <w:r>
        <w:rPr/>
        <w:t xml:space="preserve">Výkon působnosti v rozsahu obecného stavebního úřadu výjimkou územního rozhodování u staveb k účelům těžby, zpracování, transportu a ukládání radioaktivních surovin a u staveb jaderných zařízení.</w:t>
      </w:r>
    </w:p>
    <w:p/>
    <w:p>
      <w:pPr>
        <w:pStyle w:val="Heading2"/>
      </w:pPr>
      <w:bookmarkStart w:id="3" w:name="_Toc3"/>
      <w:r>
        <w:t>CZ-ISCO</w:t>
      </w:r>
      <w:bookmarkEnd w:id="3"/>
    </w:p>
    <w:p>
      <w:pPr>
        <w:numPr>
          <w:ilvl w:val="0"/>
          <w:numId w:val="5"/>
        </w:numPr>
      </w:pPr>
      <w:r>
        <w:rPr/>
        <w:t xml:space="preserve">Ostatní stavební inženýři</w:t>
      </w:r>
    </w:p>
    <w:p>
      <w:pPr>
        <w:numPr>
          <w:ilvl w:val="0"/>
          <w:numId w:val="5"/>
        </w:numPr>
      </w:pPr>
      <w:r>
        <w:rPr/>
        <w:t xml:space="preserve">Stavební inženýři</w:t>
      </w:r>
    </w:p>
    <w:p/>
    <w:p>
      <w:pPr>
        <w:pStyle w:val="Heading3"/>
      </w:pPr>
      <w:bookmarkStart w:id="4" w:name="_Toc4"/>
      <w:r>
        <w:t>Hrubé měsíční mzdy podle krajů v roce 2023</w:t>
      </w:r>
      <w:bookmarkEnd w:id="4"/>
    </w:p>
    <w:p>
      <w:pPr>
        <w:pStyle w:val="Heading4"/>
      </w:pPr>
      <w:bookmarkStart w:id="5" w:name="_Toc5"/>
      <w:r>
        <w:t>Stavební inženýři (CZ-ISCO 2142)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43 617 Kč</w:t>
            </w:r>
          </w:p>
        </w:tc>
        <w:tc>
          <w:tcPr>
            <w:tcW w:w="1000" w:type="dxa"/>
          </w:tcPr>
          <w:p>
            <w:pPr>
              <w:jc w:val="center"/>
            </w:pPr>
            <w:r>
              <w:rPr/>
              <w:t xml:space="preserve">66 158 Kč</w:t>
            </w:r>
          </w:p>
        </w:tc>
        <w:tc>
          <w:tcPr>
            <w:tcW w:w="1000" w:type="dxa"/>
          </w:tcPr>
          <w:p>
            <w:pPr>
              <w:jc w:val="center"/>
            </w:pPr>
            <w:r>
              <w:rPr>
                <w:sz w:val="16"/>
                <w:szCs w:val="16"/>
              </w:rPr>
              <w:t xml:space="preserve">108 277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41 388 Kč</w:t>
            </w:r>
          </w:p>
        </w:tc>
        <w:tc>
          <w:tcPr>
            <w:tcW w:w="1000" w:type="dxa"/>
          </w:tcPr>
          <w:p>
            <w:pPr>
              <w:jc w:val="center"/>
            </w:pPr>
            <w:r>
              <w:rPr/>
              <w:t xml:space="preserve">63 853 Kč</w:t>
            </w:r>
          </w:p>
        </w:tc>
        <w:tc>
          <w:tcPr>
            <w:tcW w:w="1000" w:type="dxa"/>
          </w:tcPr>
          <w:p>
            <w:pPr>
              <w:jc w:val="center"/>
            </w:pPr>
            <w:r>
              <w:rPr>
                <w:sz w:val="16"/>
                <w:szCs w:val="16"/>
              </w:rPr>
              <w:t xml:space="preserve">100 275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45 470 Kč</w:t>
            </w:r>
          </w:p>
        </w:tc>
        <w:tc>
          <w:tcPr>
            <w:tcW w:w="1000" w:type="dxa"/>
          </w:tcPr>
          <w:p>
            <w:pPr>
              <w:jc w:val="center"/>
            </w:pPr>
            <w:r>
              <w:rPr/>
              <w:t xml:space="preserve">65 078 Kč</w:t>
            </w:r>
          </w:p>
        </w:tc>
        <w:tc>
          <w:tcPr>
            <w:tcW w:w="1000" w:type="dxa"/>
          </w:tcPr>
          <w:p>
            <w:pPr>
              <w:jc w:val="center"/>
            </w:pPr>
            <w:r>
              <w:rPr>
                <w:sz w:val="16"/>
                <w:szCs w:val="16"/>
              </w:rPr>
              <w:t xml:space="preserve">108 918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40 621 Kč</w:t>
            </w:r>
          </w:p>
        </w:tc>
        <w:tc>
          <w:tcPr>
            <w:tcW w:w="1000" w:type="dxa"/>
          </w:tcPr>
          <w:p>
            <w:pPr>
              <w:jc w:val="center"/>
            </w:pPr>
            <w:r>
              <w:rPr/>
              <w:t xml:space="preserve">49 079 Kč</w:t>
            </w:r>
          </w:p>
        </w:tc>
        <w:tc>
          <w:tcPr>
            <w:tcW w:w="1000" w:type="dxa"/>
          </w:tcPr>
          <w:p>
            <w:pPr>
              <w:jc w:val="center"/>
            </w:pPr>
            <w:r>
              <w:rPr/>
              <w:t xml:space="preserve">74 483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46 895 Kč</w:t>
            </w:r>
          </w:p>
        </w:tc>
        <w:tc>
          <w:tcPr>
            <w:tcW w:w="1000" w:type="dxa"/>
          </w:tcPr>
          <w:p>
            <w:pPr>
              <w:jc w:val="center"/>
            </w:pPr>
            <w:r>
              <w:rPr/>
              <w:t xml:space="preserve">61 176 Kč</w:t>
            </w:r>
          </w:p>
        </w:tc>
        <w:tc>
          <w:tcPr>
            <w:tcW w:w="1000" w:type="dxa"/>
          </w:tcPr>
          <w:p>
            <w:pPr>
              <w:jc w:val="center"/>
            </w:pPr>
            <w:r>
              <w:rPr>
                <w:sz w:val="16"/>
                <w:szCs w:val="16"/>
              </w:rPr>
              <w:t xml:space="preserve">105 021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47 986 Kč</w:t>
            </w:r>
          </w:p>
        </w:tc>
        <w:tc>
          <w:tcPr>
            <w:tcW w:w="1000" w:type="dxa"/>
          </w:tcPr>
          <w:p>
            <w:pPr>
              <w:jc w:val="center"/>
            </w:pPr>
            <w:r>
              <w:rPr/>
              <w:t xml:space="preserve">61 234 Kč</w:t>
            </w:r>
          </w:p>
        </w:tc>
        <w:tc>
          <w:tcPr>
            <w:tcW w:w="1000" w:type="dxa"/>
          </w:tcPr>
          <w:p>
            <w:pPr>
              <w:jc w:val="center"/>
            </w:pPr>
            <w:r>
              <w:rPr/>
              <w:t xml:space="preserve">91 572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33 811 Kč</w:t>
            </w:r>
          </w:p>
        </w:tc>
        <w:tc>
          <w:tcPr>
            <w:tcW w:w="1000" w:type="dxa"/>
          </w:tcPr>
          <w:p>
            <w:pPr>
              <w:jc w:val="center"/>
            </w:pPr>
            <w:r>
              <w:rPr/>
              <w:t xml:space="preserve">57 599 Kč</w:t>
            </w:r>
          </w:p>
        </w:tc>
        <w:tc>
          <w:tcPr>
            <w:tcW w:w="1000" w:type="dxa"/>
          </w:tcPr>
          <w:p>
            <w:pPr>
              <w:jc w:val="center"/>
            </w:pPr>
            <w:r>
              <w:rPr/>
              <w:t xml:space="preserve">92 927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35 454 Kč</w:t>
            </w:r>
          </w:p>
        </w:tc>
        <w:tc>
          <w:tcPr>
            <w:tcW w:w="1000" w:type="dxa"/>
          </w:tcPr>
          <w:p>
            <w:pPr>
              <w:jc w:val="center"/>
            </w:pPr>
            <w:r>
              <w:rPr/>
              <w:t xml:space="preserve">55 386 Kč</w:t>
            </w:r>
          </w:p>
        </w:tc>
        <w:tc>
          <w:tcPr>
            <w:tcW w:w="1000" w:type="dxa"/>
          </w:tcPr>
          <w:p>
            <w:pPr>
              <w:jc w:val="center"/>
            </w:pPr>
            <w:r>
              <w:rPr/>
              <w:t xml:space="preserve">92 508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2142</w:t>
            </w:r>
          </w:p>
        </w:tc>
        <w:tc>
          <w:tcPr>
            <w:tcW w:w="2000" w:type="dxa"/>
          </w:tcPr>
          <w:p>
            <w:pPr/>
            <w:r>
              <w:rPr/>
              <w:t xml:space="preserve">Stavební inženýři</w:t>
            </w:r>
          </w:p>
        </w:tc>
        <w:tc>
          <w:tcPr>
            <w:tcW w:w="1000" w:type="dxa"/>
          </w:tcPr>
          <w:p>
            <w:pPr>
              <w:jc w:val="center"/>
            </w:pPr>
            <w:r>
              <w:rPr/>
              <w:t xml:space="preserve">50 266 Kč</w:t>
            </w:r>
          </w:p>
        </w:tc>
        <w:tc>
          <w:tcPr>
            <w:tcW w:w="1000" w:type="dxa"/>
          </w:tcPr>
          <w:p>
            <w:pPr>
              <w:jc w:val="center"/>
            </w:pPr>
            <w:r>
              <w:rPr/>
              <w:t xml:space="preserve">59 299 Kč</w:t>
            </w:r>
          </w:p>
        </w:tc>
      </w:tr>
      <w:tr>
        <w:trPr/>
        <w:tc>
          <w:tcPr>
            <w:tcW w:w="1000" w:type="dxa"/>
          </w:tcPr>
          <w:p>
            <w:pPr>
              <w:jc w:val="center"/>
            </w:pPr>
            <w:r>
              <w:rPr/>
              <w:t xml:space="preserve">21429</w:t>
            </w:r>
          </w:p>
        </w:tc>
        <w:tc>
          <w:tcPr>
            <w:tcW w:w="2000" w:type="dxa"/>
          </w:tcPr>
          <w:p>
            <w:pPr/>
            <w:r>
              <w:rPr/>
              <w:t xml:space="preserve">Ostatní stavební inženýři</w:t>
            </w:r>
          </w:p>
        </w:tc>
        <w:tc>
          <w:tcPr>
            <w:tcW w:w="1000" w:type="dxa"/>
          </w:tcPr>
          <w:p>
            <w:pPr>
              <w:jc w:val="center"/>
            </w:pPr>
            <w:r>
              <w:rPr/>
              <w:t xml:space="preserve">-</w:t>
            </w:r>
          </w:p>
        </w:tc>
        <w:tc>
          <w:tcPr>
            <w:tcW w:w="1000" w:type="dxa"/>
          </w:tcPr>
          <w:p>
            <w:pPr>
              <w:jc w:val="center"/>
            </w:pPr>
            <w:r>
              <w:rPr/>
              <w:t xml:space="preserve">52 642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Koordinace a usměrňování speciálního stavebního úřadu v působnosti obce.</w:t>
            </w:r>
          </w:p>
        </w:tc>
        <w:tc>
          <w:tcPr>
            <w:tcW w:w="2000" w:type="dxa"/>
          </w:tcPr>
          <w:p>
            <w:pPr>
              <w:jc w:val="center"/>
            </w:pPr>
            <w:r>
              <w:rPr/>
              <w:t xml:space="preserve">10</w:t>
            </w:r>
          </w:p>
        </w:tc>
      </w:tr>
      <w:tr>
        <w:trPr/>
        <w:tc>
          <w:tcPr>
            <w:tcW w:w="7000" w:type="dxa"/>
          </w:tcPr>
          <w:p>
            <w:pPr/>
            <w:r>
              <w:rPr/>
              <w:t xml:space="preserve">Zajišťování dílčích odborných agend na úseku územního plánování, stavebního řádu.</w:t>
            </w:r>
          </w:p>
        </w:tc>
        <w:tc>
          <w:tcPr>
            <w:tcW w:w="2000" w:type="dxa"/>
          </w:tcPr>
          <w:p>
            <w:pPr>
              <w:jc w:val="center"/>
            </w:pPr>
            <w:r>
              <w:rPr/>
              <w:t xml:space="preserve">9</w:t>
            </w:r>
          </w:p>
        </w:tc>
      </w:tr>
      <w:tr>
        <w:trPr/>
        <w:tc>
          <w:tcPr>
            <w:tcW w:w="7000" w:type="dxa"/>
          </w:tcPr>
          <w:p>
            <w:pPr/>
            <w:r>
              <w:rPr/>
              <w:t xml:space="preserve">Zajišťování dílčích odborných agend na úseku územního plánování, stavebního řádu a vodního hospodářství.</w:t>
            </w:r>
          </w:p>
        </w:tc>
        <w:tc>
          <w:tcPr>
            <w:tcW w:w="2000" w:type="dxa"/>
          </w:tcPr>
          <w:p>
            <w:pPr>
              <w:jc w:val="center"/>
            </w:pPr>
            <w:r>
              <w:rPr/>
              <w:t xml:space="preserve">8</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Bakalářský studijní program ve skupině oborů právo, právní a veřejnosprávní činnost</w:t>
            </w:r>
          </w:p>
        </w:tc>
        <w:tc>
          <w:tcPr>
            <w:tcW w:w="2000" w:type="dxa"/>
          </w:tcPr>
          <w:p>
            <w:pPr>
              <w:jc w:val="center"/>
            </w:pPr>
            <w:r>
              <w:rPr/>
              <w:t xml:space="preserve">68xxR</w:t>
            </w:r>
          </w:p>
        </w:tc>
      </w:tr>
      <w:tr>
        <w:trPr/>
        <w:tc>
          <w:tcPr>
            <w:tcW w:w="2000" w:type="dxa"/>
          </w:tcPr>
          <w:p>
            <w:pPr>
              <w:jc w:val="center"/>
            </w:pPr>
            <w:r>
              <w:rPr/>
              <w:t xml:space="preserve">KKOV</w:t>
            </w:r>
          </w:p>
        </w:tc>
        <w:tc>
          <w:tcPr>
            <w:tcW w:w="5000" w:type="dxa"/>
          </w:tcPr>
          <w:p>
            <w:pPr/>
            <w:r>
              <w:rPr/>
              <w:t xml:space="preserve">Magisterský studijní program v oboru sociologie</w:t>
            </w:r>
          </w:p>
        </w:tc>
        <w:tc>
          <w:tcPr>
            <w:tcW w:w="2000" w:type="dxa"/>
          </w:tcPr>
          <w:p>
            <w:pPr>
              <w:jc w:val="center"/>
            </w:pPr>
            <w:r>
              <w:rPr/>
              <w:t xml:space="preserve">6703T</w:t>
            </w:r>
          </w:p>
        </w:tc>
      </w:tr>
      <w:tr>
        <w:trPr/>
        <w:tc>
          <w:tcPr>
            <w:tcW w:w="2000" w:type="dxa"/>
          </w:tcPr>
          <w:p>
            <w:pPr>
              <w:jc w:val="center"/>
            </w:pPr>
            <w:r>
              <w:rPr/>
              <w:t xml:space="preserve">KKOV</w:t>
            </w:r>
          </w:p>
        </w:tc>
        <w:tc>
          <w:tcPr>
            <w:tcW w:w="5000" w:type="dxa"/>
          </w:tcPr>
          <w:p>
            <w:pPr/>
            <w:r>
              <w:rPr/>
              <w:t xml:space="preserve">Magisterský studijní program v oboru demografie</w:t>
            </w:r>
          </w:p>
        </w:tc>
        <w:tc>
          <w:tcPr>
            <w:tcW w:w="2000" w:type="dxa"/>
          </w:tcPr>
          <w:p>
            <w:pPr>
              <w:jc w:val="center"/>
            </w:pPr>
            <w:r>
              <w:rPr/>
              <w:t xml:space="preserve">1303T</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g11.Z.2891</w:t>
            </w:r>
          </w:p>
        </w:tc>
        <w:tc>
          <w:tcPr>
            <w:tcW w:w="3000" w:type="dxa"/>
          </w:tcPr>
          <w:p>
            <w:pPr/>
            <w:r>
              <w:rPr/>
              <w:t xml:space="preserve">Koordinace činností při správním územním a stavebním řízení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i42.D.8031</w:t>
            </w:r>
          </w:p>
        </w:tc>
        <w:tc>
          <w:tcPr>
            <w:tcW w:w="3000" w:type="dxa"/>
          </w:tcPr>
          <w:p>
            <w:pPr/>
            <w:r>
              <w:rPr/>
              <w:t xml:space="preserve">Sledování změn legislativy, aktualizace a evidence právních předpisů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i42.D.3122</w:t>
            </w:r>
          </w:p>
        </w:tc>
        <w:tc>
          <w:tcPr>
            <w:tcW w:w="3000" w:type="dxa"/>
          </w:tcPr>
          <w:p>
            <w:pPr/>
            <w:r>
              <w:rPr/>
              <w:t xml:space="preserve">Zpracování znaleckých posudků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i21.D.9673</w:t>
            </w:r>
          </w:p>
        </w:tc>
        <w:tc>
          <w:tcPr>
            <w:tcW w:w="3000" w:type="dxa"/>
          </w:tcPr>
          <w:p>
            <w:pPr/>
            <w:r>
              <w:rPr/>
              <w:t xml:space="preserve">Zpracovávání znaleckých posudků v oboru stavebnictví, v rámci zajišťování činností na úseku výstavby a stavebního dohledu spadajících do kompetence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i21.D.1012</w:t>
            </w:r>
          </w:p>
        </w:tc>
        <w:tc>
          <w:tcPr>
            <w:tcW w:w="3000" w:type="dxa"/>
          </w:tcPr>
          <w:p>
            <w:pPr/>
            <w:r>
              <w:rPr/>
              <w:t xml:space="preserve">Orientace v právních předpisech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i21.D.9050</w:t>
            </w:r>
          </w:p>
        </w:tc>
        <w:tc>
          <w:tcPr>
            <w:tcW w:w="3000" w:type="dxa"/>
          </w:tcPr>
          <w:p>
            <w:pPr/>
            <w:r>
              <w:rPr/>
              <w:t xml:space="preserve">Vypracování odborných informačních výstupů, popř. jiných dokladů či dokumentů na svěřeném úseku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i21.C.2000</w:t>
            </w:r>
          </w:p>
        </w:tc>
        <w:tc>
          <w:tcPr>
            <w:tcW w:w="3000" w:type="dxa"/>
          </w:tcPr>
          <w:p>
            <w:pPr/>
            <w:r>
              <w:rPr/>
              <w:t xml:space="preserve">Aplikace problematiky výkonu státní správy</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i41._.0015</w:t>
            </w:r>
          </w:p>
        </w:tc>
        <w:tc>
          <w:tcPr>
            <w:tcW w:w="3000" w:type="dxa"/>
          </w:tcPr>
          <w:p>
            <w:pPr/>
            <w:r>
              <w:rPr/>
              <w:t xml:space="preserve">správní právo, správní řád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g11._.0004</w:t>
            </w:r>
          </w:p>
        </w:tc>
        <w:tc>
          <w:tcPr>
            <w:tcW w:w="3000" w:type="dxa"/>
          </w:tcPr>
          <w:p>
            <w:pPr/>
            <w:r>
              <w:rPr/>
              <w:t xml:space="preserve">pravidla a postupy stavebních řízení a dalších správních procedur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i21._.0052</w:t>
            </w:r>
          </w:p>
        </w:tc>
        <w:tc>
          <w:tcPr>
            <w:tcW w:w="3000" w:type="dxa"/>
          </w:tcPr>
          <w:p>
            <w:pPr/>
            <w:r>
              <w:rPr/>
              <w:t xml:space="preserve">státní správa a samospráva na místní nebo regionální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5</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DBF9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vojenských a dalších stavebních úřadů</dc:title>
  <dc:description>Referent specialista ostatního výkonu státní správy stavebního řádu vytváří, navrhuje a koordinuje kontrolní systémy a koordinuje a usměrňuje zabezpečování úkolů stavebního řádu na všech úrovních úřadů. </dc:description>
  <dc:subject/>
  <cp:keywords/>
  <cp:category>Specializace</cp:category>
  <cp:lastModifiedBy/>
  <dcterms:created xsi:type="dcterms:W3CDTF">2017-11-22T09:12:21+01:00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