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Operátor poštovních informačních služeb</w:t>
      </w:r>
      <w:bookmarkEnd w:id="1"/>
    </w:p>
    <w:p>
      <w:pPr/>
      <w:r>
        <w:rPr/>
        <w:t xml:space="preserve">Operátor poštovních informačních služeb v provozu pošty a call centra zabezpečuje předávání informací o službách spojených s produkty pošty.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 </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Obsluha zákazníků v hlasové podobě a elektronické podobě z call centra.</w:t>
      </w:r>
    </w:p>
    <w:p>
      <w:pPr>
        <w:numPr>
          <w:ilvl w:val="0"/>
          <w:numId w:val="5"/>
        </w:numPr>
      </w:pPr>
      <w:r>
        <w:rPr/>
        <w:t xml:space="preserve">Poskytování informací spojených s produkty pošty a smluvních partnerů, přepravou zásilek a provozem pošty.</w:t>
      </w:r>
    </w:p>
    <w:p>
      <w:pPr>
        <w:numPr>
          <w:ilvl w:val="0"/>
          <w:numId w:val="5"/>
        </w:numPr>
      </w:pPr>
      <w:r>
        <w:rPr/>
        <w:t xml:space="preserve">Zabezpečování informačního servisu zákazníkům a pracovníkům poštovních a doručovatelských služeb.</w:t>
      </w:r>
    </w:p>
    <w:p>
      <w:pPr>
        <w:numPr>
          <w:ilvl w:val="0"/>
          <w:numId w:val="5"/>
        </w:numPr>
      </w:pPr>
      <w:r>
        <w:rPr/>
        <w:t xml:space="preserve">Přijímání, evidence a vyřizování dotazů a stížností, včetně cizojazyčných.</w:t>
      </w:r>
    </w:p>
    <w:p/>
    <w:p>
      <w:pPr>
        <w:pStyle w:val="Heading2"/>
      </w:pPr>
      <w:bookmarkStart w:id="3" w:name="_Toc3"/>
      <w:r>
        <w:t>CZ-ISCO</w:t>
      </w:r>
      <w:bookmarkEnd w:id="3"/>
    </w:p>
    <w:p>
      <w:pPr>
        <w:numPr>
          <w:ilvl w:val="0"/>
          <w:numId w:val="5"/>
        </w:numPr>
      </w:pPr>
      <w:r>
        <w:rPr/>
        <w:t xml:space="preserve">Pracovníci v informačních kancelářích</w:t>
      </w:r>
    </w:p>
    <w:p>
      <w:pPr>
        <w:numPr>
          <w:ilvl w:val="0"/>
          <w:numId w:val="5"/>
        </w:numPr>
      </w:pPr>
      <w:r>
        <w:rPr/>
        <w:t xml:space="preserve">Pracovníci v zákaznických kontaktních centrech</w:t>
      </w:r>
    </w:p>
    <w:p>
      <w:pPr>
        <w:numPr>
          <w:ilvl w:val="0"/>
          <w:numId w:val="5"/>
        </w:numPr>
      </w:pPr>
      <w:r>
        <w:rPr/>
        <w:t xml:space="preserve">Pracovníci v informačních kancelářích</w:t>
      </w:r>
    </w:p>
    <w:p>
      <w:pPr>
        <w:numPr>
          <w:ilvl w:val="0"/>
          <w:numId w:val="5"/>
        </w:numPr>
      </w:pPr>
      <w:r>
        <w:rPr/>
        <w:t xml:space="preserve">Pracovníci v zákaznických kontaktních centrech</w:t>
      </w:r>
    </w:p>
    <w:p/>
    <w:p>
      <w:pPr>
        <w:pStyle w:val="Heading3"/>
      </w:pPr>
      <w:bookmarkStart w:id="4" w:name="_Toc4"/>
      <w:r>
        <w:t>Hrubé měsíční mzdy podle krajů v roce 2020</w:t>
      </w:r>
      <w:bookmarkEnd w:id="4"/>
    </w:p>
    <w:p>
      <w:pPr>
        <w:pStyle w:val="Heading4"/>
      </w:pPr>
      <w:bookmarkStart w:id="5" w:name="_Toc5"/>
      <w:r>
        <w:t>Pracovníci v informačních kancelářích (CZ-ISCO 4225)</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28 030 Kč</w:t>
            </w:r>
          </w:p>
        </w:tc>
        <w:tc>
          <w:tcPr>
            <w:tcW w:w="1000" w:type="dxa"/>
          </w:tcPr>
          <w:p>
            <w:pPr>
              <w:jc w:val="center"/>
            </w:pPr>
            <w:r>
              <w:rPr/>
              <w:t xml:space="preserve">34 508 Kč</w:t>
            </w:r>
          </w:p>
        </w:tc>
        <w:tc>
          <w:tcPr>
            <w:tcW w:w="1000" w:type="dxa"/>
          </w:tcPr>
          <w:p>
            <w:pPr>
              <w:jc w:val="center"/>
            </w:pPr>
            <w:r>
              <w:rPr/>
              <w:t xml:space="preserve">43 989 Kč</w:t>
            </w:r>
          </w:p>
        </w:tc>
        <w:tc>
          <w:tcPr>
            <w:tcW w:w="1000" w:type="dxa"/>
          </w:tcPr>
          <w:p>
            <w:pPr>
              <w:jc w:val="center"/>
            </w:pPr>
            <w:r>
              <w:rPr/>
              <w:t xml:space="preserve">26 104 Kč</w:t>
            </w:r>
          </w:p>
        </w:tc>
        <w:tc>
          <w:tcPr>
            <w:tcW w:w="1000" w:type="dxa"/>
          </w:tcPr>
          <w:p>
            <w:pPr>
              <w:jc w:val="center"/>
            </w:pPr>
            <w:r>
              <w:rPr/>
              <w:t xml:space="preserve">34 088 Kč</w:t>
            </w:r>
          </w:p>
        </w:tc>
        <w:tc>
          <w:tcPr>
            <w:tcW w:w="1000" w:type="dxa"/>
          </w:tcPr>
          <w:p>
            <w:pPr>
              <w:jc w:val="center"/>
            </w:pPr>
            <w:r>
              <w:rPr/>
              <w:t xml:space="preserve">41 568 Kč</w:t>
            </w:r>
          </w:p>
        </w:tc>
      </w:tr>
      <w:tr>
        <w:trPr/>
        <w:tc>
          <w:tcPr>
            <w:tcW w:w="2000" w:type="dxa"/>
          </w:tcPr>
          <w:p>
            <w:pPr/>
            <w:r>
              <w:rPr/>
              <w:t xml:space="preserve">Středočeský kraj</w:t>
            </w:r>
          </w:p>
        </w:tc>
        <w:tc>
          <w:tcPr>
            <w:tcW w:w="1000" w:type="dxa"/>
          </w:tcPr>
          <w:p>
            <w:pPr>
              <w:jc w:val="center"/>
            </w:pPr>
            <w:r>
              <w:rPr/>
              <w:t xml:space="preserve">18 726 Kč</w:t>
            </w:r>
          </w:p>
        </w:tc>
        <w:tc>
          <w:tcPr>
            <w:tcW w:w="1000" w:type="dxa"/>
          </w:tcPr>
          <w:p>
            <w:pPr>
              <w:jc w:val="center"/>
            </w:pPr>
            <w:r>
              <w:rPr/>
              <w:t xml:space="preserve">27 088 Kč</w:t>
            </w:r>
          </w:p>
        </w:tc>
        <w:tc>
          <w:tcPr>
            <w:tcW w:w="1000" w:type="dxa"/>
          </w:tcPr>
          <w:p>
            <w:pPr>
              <w:jc w:val="center"/>
            </w:pPr>
            <w:r>
              <w:rPr/>
              <w:t xml:space="preserve">29 531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25 276 Kč</w:t>
            </w:r>
          </w:p>
        </w:tc>
        <w:tc>
          <w:tcPr>
            <w:tcW w:w="1000" w:type="dxa"/>
          </w:tcPr>
          <w:p>
            <w:pPr>
              <w:jc w:val="center"/>
            </w:pPr>
            <w:r>
              <w:rPr/>
              <w:t xml:space="preserve">27 722 Kč</w:t>
            </w:r>
          </w:p>
        </w:tc>
        <w:tc>
          <w:tcPr>
            <w:tcW w:w="1000" w:type="dxa"/>
          </w:tcPr>
          <w:p>
            <w:pPr>
              <w:jc w:val="center"/>
            </w:pPr>
            <w:r>
              <w:rPr/>
              <w:t xml:space="preserve">30 720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20 319 Kč</w:t>
            </w:r>
          </w:p>
        </w:tc>
        <w:tc>
          <w:tcPr>
            <w:tcW w:w="1000" w:type="dxa"/>
          </w:tcPr>
          <w:p>
            <w:pPr>
              <w:jc w:val="center"/>
            </w:pPr>
            <w:r>
              <w:rPr/>
              <w:t xml:space="preserve">25 855 Kč</w:t>
            </w:r>
          </w:p>
        </w:tc>
        <w:tc>
          <w:tcPr>
            <w:tcW w:w="1000" w:type="dxa"/>
          </w:tcPr>
          <w:p>
            <w:pPr>
              <w:jc w:val="center"/>
            </w:pPr>
            <w:r>
              <w:rPr/>
              <w:t xml:space="preserve">27 694 Kč</w:t>
            </w:r>
          </w:p>
        </w:tc>
        <w:tc>
          <w:tcPr>
            <w:tcW w:w="1000" w:type="dxa"/>
          </w:tcPr>
          <w:p>
            <w:pPr>
              <w:jc w:val="center"/>
            </w:pPr>
            <w:r>
              <w:rPr/>
              <w:t xml:space="preserve">24 396 Kč</w:t>
            </w:r>
          </w:p>
        </w:tc>
        <w:tc>
          <w:tcPr>
            <w:tcW w:w="1000" w:type="dxa"/>
          </w:tcPr>
          <w:p>
            <w:pPr>
              <w:jc w:val="center"/>
            </w:pPr>
            <w:r>
              <w:rPr/>
              <w:t xml:space="preserve">31 708 Kč</w:t>
            </w:r>
          </w:p>
        </w:tc>
        <w:tc>
          <w:tcPr>
            <w:tcW w:w="1000" w:type="dxa"/>
          </w:tcPr>
          <w:p>
            <w:pPr>
              <w:jc w:val="center"/>
            </w:pPr>
            <w:r>
              <w:rPr/>
              <w:t xml:space="preserve">38 953 Kč</w:t>
            </w:r>
          </w:p>
        </w:tc>
      </w:tr>
      <w:tr>
        <w:trPr/>
        <w:tc>
          <w:tcPr>
            <w:tcW w:w="2000" w:type="dxa"/>
          </w:tcPr>
          <w:p>
            <w:pPr/>
            <w:r>
              <w:rPr/>
              <w:t xml:space="preserve">Královéhradecký kraj</w:t>
            </w:r>
          </w:p>
        </w:tc>
        <w:tc>
          <w:tcPr>
            <w:tcW w:w="1000" w:type="dxa"/>
          </w:tcPr>
          <w:p>
            <w:pPr>
              <w:jc w:val="center"/>
            </w:pPr>
            <w:r>
              <w:rPr/>
              <w:t xml:space="preserve">24 601 Kč</w:t>
            </w:r>
          </w:p>
        </w:tc>
        <w:tc>
          <w:tcPr>
            <w:tcW w:w="1000" w:type="dxa"/>
          </w:tcPr>
          <w:p>
            <w:pPr>
              <w:jc w:val="center"/>
            </w:pPr>
            <w:r>
              <w:rPr/>
              <w:t xml:space="preserve">27 178 Kč</w:t>
            </w:r>
          </w:p>
        </w:tc>
        <w:tc>
          <w:tcPr>
            <w:tcW w:w="1000" w:type="dxa"/>
          </w:tcPr>
          <w:p>
            <w:pPr>
              <w:jc w:val="center"/>
            </w:pPr>
            <w:r>
              <w:rPr/>
              <w:t xml:space="preserve">32 224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20 956 Kč</w:t>
            </w:r>
          </w:p>
        </w:tc>
        <w:tc>
          <w:tcPr>
            <w:tcW w:w="1000" w:type="dxa"/>
          </w:tcPr>
          <w:p>
            <w:pPr>
              <w:jc w:val="center"/>
            </w:pPr>
            <w:r>
              <w:rPr/>
              <w:t xml:space="preserve">27 049 Kč</w:t>
            </w:r>
          </w:p>
        </w:tc>
        <w:tc>
          <w:tcPr>
            <w:tcW w:w="1000" w:type="dxa"/>
          </w:tcPr>
          <w:p>
            <w:pPr>
              <w:jc w:val="center"/>
            </w:pPr>
            <w:r>
              <w:rPr/>
              <w:t xml:space="preserve">29 399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23 006 Kč</w:t>
            </w:r>
          </w:p>
        </w:tc>
        <w:tc>
          <w:tcPr>
            <w:tcW w:w="1000" w:type="dxa"/>
          </w:tcPr>
          <w:p>
            <w:pPr>
              <w:jc w:val="center"/>
            </w:pPr>
            <w:r>
              <w:rPr/>
              <w:t xml:space="preserve">28 991 Kč</w:t>
            </w:r>
          </w:p>
        </w:tc>
        <w:tc>
          <w:tcPr>
            <w:tcW w:w="1000" w:type="dxa"/>
          </w:tcPr>
          <w:p>
            <w:pPr>
              <w:jc w:val="center"/>
            </w:pPr>
            <w:r>
              <w:rPr/>
              <w:t xml:space="preserve">40 190 Kč</w:t>
            </w:r>
          </w:p>
        </w:tc>
      </w:tr>
      <w:tr>
        <w:trPr/>
        <w:tc>
          <w:tcPr>
            <w:tcW w:w="2000" w:type="dxa"/>
          </w:tcPr>
          <w:p>
            <w:pPr/>
            <w:r>
              <w:rPr/>
              <w:t xml:space="preserve">Jihomoravský kraj</w:t>
            </w:r>
          </w:p>
        </w:tc>
        <w:tc>
          <w:tcPr>
            <w:tcW w:w="1000" w:type="dxa"/>
          </w:tcPr>
          <w:p>
            <w:pPr>
              <w:jc w:val="center"/>
            </w:pPr>
            <w:r>
              <w:rPr/>
              <w:t xml:space="preserve">21 638 Kč</w:t>
            </w:r>
          </w:p>
        </w:tc>
        <w:tc>
          <w:tcPr>
            <w:tcW w:w="1000" w:type="dxa"/>
          </w:tcPr>
          <w:p>
            <w:pPr>
              <w:jc w:val="center"/>
            </w:pPr>
            <w:r>
              <w:rPr/>
              <w:t xml:space="preserve">27 257 Kč</w:t>
            </w:r>
          </w:p>
        </w:tc>
        <w:tc>
          <w:tcPr>
            <w:tcW w:w="1000" w:type="dxa"/>
          </w:tcPr>
          <w:p>
            <w:pPr>
              <w:jc w:val="center"/>
            </w:pPr>
            <w:r>
              <w:rPr/>
              <w:t xml:space="preserve">28 634 Kč</w:t>
            </w:r>
          </w:p>
        </w:tc>
        <w:tc>
          <w:tcPr>
            <w:tcW w:w="1000" w:type="dxa"/>
          </w:tcPr>
          <w:p>
            <w:pPr>
              <w:jc w:val="center"/>
            </w:pPr>
            <w:r>
              <w:rPr/>
              <w:t xml:space="preserve">28 305 Kč</w:t>
            </w:r>
          </w:p>
        </w:tc>
        <w:tc>
          <w:tcPr>
            <w:tcW w:w="1000" w:type="dxa"/>
          </w:tcPr>
          <w:p>
            <w:pPr>
              <w:jc w:val="center"/>
            </w:pPr>
            <w:r>
              <w:rPr/>
              <w:t xml:space="preserve">33 050 Kč</w:t>
            </w:r>
          </w:p>
        </w:tc>
        <w:tc>
          <w:tcPr>
            <w:tcW w:w="1000" w:type="dxa"/>
          </w:tcPr>
          <w:p>
            <w:pPr>
              <w:jc w:val="center"/>
            </w:pPr>
            <w:r>
              <w:rPr/>
              <w:t xml:space="preserve">36 286 Kč</w:t>
            </w:r>
          </w:p>
        </w:tc>
      </w:tr>
      <w:tr>
        <w:trPr/>
        <w:tc>
          <w:tcPr>
            <w:tcW w:w="2000" w:type="dxa"/>
          </w:tcPr>
          <w:p>
            <w:pPr/>
            <w:r>
              <w:rPr/>
              <w:t xml:space="preserve">Zlínský kraj</w:t>
            </w:r>
          </w:p>
        </w:tc>
        <w:tc>
          <w:tcPr>
            <w:tcW w:w="1000" w:type="dxa"/>
          </w:tcPr>
          <w:p>
            <w:pPr>
              <w:jc w:val="center"/>
            </w:pPr>
            <w:r>
              <w:rPr/>
              <w:t xml:space="preserve">23 834 Kč</w:t>
            </w:r>
          </w:p>
        </w:tc>
        <w:tc>
          <w:tcPr>
            <w:tcW w:w="1000" w:type="dxa"/>
          </w:tcPr>
          <w:p>
            <w:pPr>
              <w:jc w:val="center"/>
            </w:pPr>
            <w:r>
              <w:rPr/>
              <w:t xml:space="preserve">26 088 Kč</w:t>
            </w:r>
          </w:p>
        </w:tc>
        <w:tc>
          <w:tcPr>
            <w:tcW w:w="1000" w:type="dxa"/>
          </w:tcPr>
          <w:p>
            <w:pPr>
              <w:jc w:val="center"/>
            </w:pPr>
            <w:r>
              <w:rPr/>
              <w:t xml:space="preserve">30 471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22 790 Kč</w:t>
            </w:r>
          </w:p>
        </w:tc>
        <w:tc>
          <w:tcPr>
            <w:tcW w:w="1000" w:type="dxa"/>
          </w:tcPr>
          <w:p>
            <w:pPr>
              <w:jc w:val="center"/>
            </w:pPr>
            <w:r>
              <w:rPr/>
              <w:t xml:space="preserve">26 189 Kč</w:t>
            </w:r>
          </w:p>
        </w:tc>
        <w:tc>
          <w:tcPr>
            <w:tcW w:w="1000" w:type="dxa"/>
          </w:tcPr>
          <w:p>
            <w:pPr>
              <w:jc w:val="center"/>
            </w:pPr>
            <w:r>
              <w:rPr/>
              <w:t xml:space="preserve">28 997 Kč</w:t>
            </w:r>
          </w:p>
        </w:tc>
        <w:tc>
          <w:tcPr>
            <w:tcW w:w="1000" w:type="dxa"/>
          </w:tcPr>
          <w:p>
            <w:pPr>
              <w:jc w:val="center"/>
            </w:pPr>
            <w:r>
              <w:rPr/>
              <w:t xml:space="preserve">23 841 Kč</w:t>
            </w:r>
          </w:p>
        </w:tc>
        <w:tc>
          <w:tcPr>
            <w:tcW w:w="1000" w:type="dxa"/>
          </w:tcPr>
          <w:p>
            <w:pPr>
              <w:jc w:val="center"/>
            </w:pPr>
            <w:r>
              <w:rPr/>
              <w:t xml:space="preserve">29 742 Kč</w:t>
            </w:r>
          </w:p>
        </w:tc>
        <w:tc>
          <w:tcPr>
            <w:tcW w:w="1000" w:type="dxa"/>
          </w:tcPr>
          <w:p>
            <w:pPr>
              <w:jc w:val="center"/>
            </w:pPr>
            <w:r>
              <w:rPr/>
              <w:t xml:space="preserve">34 297 Kč</w:t>
            </w:r>
          </w:p>
        </w:tc>
      </w:tr>
    </w:tbl>
    <w:p/>
    <w:p>
      <w:pPr>
        <w:pStyle w:val="Heading4"/>
      </w:pPr>
      <w:bookmarkStart w:id="6" w:name="_Toc6"/>
      <w:r>
        <w:t>Pracovníci v zákaznických kontaktních centrech (CZ-ISCO 4222)</w:t>
      </w:r>
      <w:bookmarkEnd w:id="6"/>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25 470 Kč</w:t>
            </w:r>
          </w:p>
        </w:tc>
        <w:tc>
          <w:tcPr>
            <w:tcW w:w="1000" w:type="dxa"/>
          </w:tcPr>
          <w:p>
            <w:pPr>
              <w:jc w:val="center"/>
            </w:pPr>
            <w:r>
              <w:rPr/>
              <w:t xml:space="preserve">34 828 Kč</w:t>
            </w:r>
          </w:p>
        </w:tc>
        <w:tc>
          <w:tcPr>
            <w:tcW w:w="1000" w:type="dxa"/>
          </w:tcPr>
          <w:p>
            <w:pPr>
              <w:jc w:val="center"/>
            </w:pPr>
            <w:r>
              <w:rPr/>
              <w:t xml:space="preserve">49 711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16 383 Kč</w:t>
            </w:r>
          </w:p>
        </w:tc>
        <w:tc>
          <w:tcPr>
            <w:tcW w:w="1000" w:type="dxa"/>
          </w:tcPr>
          <w:p>
            <w:pPr>
              <w:jc w:val="center"/>
            </w:pPr>
            <w:r>
              <w:rPr/>
              <w:t xml:space="preserve">32 863 Kč</w:t>
            </w:r>
          </w:p>
        </w:tc>
        <w:tc>
          <w:tcPr>
            <w:tcW w:w="1000" w:type="dxa"/>
          </w:tcPr>
          <w:p>
            <w:pPr>
              <w:jc w:val="center"/>
            </w:pPr>
            <w:r>
              <w:rPr/>
              <w:t xml:space="preserve">47 218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24 846 Kč</w:t>
            </w:r>
          </w:p>
        </w:tc>
        <w:tc>
          <w:tcPr>
            <w:tcW w:w="1000" w:type="dxa"/>
          </w:tcPr>
          <w:p>
            <w:pPr>
              <w:jc w:val="center"/>
            </w:pPr>
            <w:r>
              <w:rPr/>
              <w:t xml:space="preserve">31 694 Kč</w:t>
            </w:r>
          </w:p>
        </w:tc>
        <w:tc>
          <w:tcPr>
            <w:tcW w:w="1000" w:type="dxa"/>
          </w:tcPr>
          <w:p>
            <w:pPr>
              <w:jc w:val="center"/>
            </w:pPr>
            <w:r>
              <w:rPr/>
              <w:t xml:space="preserve">45 893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27 150 Kč</w:t>
            </w:r>
          </w:p>
        </w:tc>
        <w:tc>
          <w:tcPr>
            <w:tcW w:w="1000" w:type="dxa"/>
          </w:tcPr>
          <w:p>
            <w:pPr>
              <w:jc w:val="center"/>
            </w:pPr>
            <w:r>
              <w:rPr/>
              <w:t xml:space="preserve">42 175 Kč</w:t>
            </w:r>
          </w:p>
        </w:tc>
        <w:tc>
          <w:tcPr>
            <w:tcW w:w="1000" w:type="dxa"/>
          </w:tcPr>
          <w:p>
            <w:pPr>
              <w:jc w:val="center"/>
            </w:pPr>
            <w:r>
              <w:rPr/>
              <w:t xml:space="preserve">56 554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16 024 Kč</w:t>
            </w:r>
          </w:p>
        </w:tc>
        <w:tc>
          <w:tcPr>
            <w:tcW w:w="1000" w:type="dxa"/>
          </w:tcPr>
          <w:p>
            <w:pPr>
              <w:jc w:val="center"/>
            </w:pPr>
            <w:r>
              <w:rPr/>
              <w:t xml:space="preserve">25 239 Kč</w:t>
            </w:r>
          </w:p>
        </w:tc>
        <w:tc>
          <w:tcPr>
            <w:tcW w:w="1000" w:type="dxa"/>
          </w:tcPr>
          <w:p>
            <w:pPr>
              <w:jc w:val="center"/>
            </w:pPr>
            <w:r>
              <w:rPr/>
              <w:t xml:space="preserve">38 167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21 635 Kč</w:t>
            </w:r>
          </w:p>
        </w:tc>
        <w:tc>
          <w:tcPr>
            <w:tcW w:w="1000" w:type="dxa"/>
          </w:tcPr>
          <w:p>
            <w:pPr>
              <w:jc w:val="center"/>
            </w:pPr>
            <w:r>
              <w:rPr/>
              <w:t xml:space="preserve">28 281 Kč</w:t>
            </w:r>
          </w:p>
        </w:tc>
        <w:tc>
          <w:tcPr>
            <w:tcW w:w="1000" w:type="dxa"/>
          </w:tcPr>
          <w:p>
            <w:pPr>
              <w:jc w:val="center"/>
            </w:pPr>
            <w:r>
              <w:rPr/>
              <w:t xml:space="preserve">40 416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20 952 Kč</w:t>
            </w:r>
          </w:p>
        </w:tc>
        <w:tc>
          <w:tcPr>
            <w:tcW w:w="1000" w:type="dxa"/>
          </w:tcPr>
          <w:p>
            <w:pPr>
              <w:jc w:val="center"/>
            </w:pPr>
            <w:r>
              <w:rPr/>
              <w:t xml:space="preserve">26 863 Kč</w:t>
            </w:r>
          </w:p>
        </w:tc>
        <w:tc>
          <w:tcPr>
            <w:tcW w:w="1000" w:type="dxa"/>
          </w:tcPr>
          <w:p>
            <w:pPr>
              <w:jc w:val="center"/>
            </w:pPr>
            <w:r>
              <w:rPr/>
              <w:t xml:space="preserve">36 974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23 864 Kč</w:t>
            </w:r>
          </w:p>
        </w:tc>
        <w:tc>
          <w:tcPr>
            <w:tcW w:w="1000" w:type="dxa"/>
          </w:tcPr>
          <w:p>
            <w:pPr>
              <w:jc w:val="center"/>
            </w:pPr>
            <w:r>
              <w:rPr/>
              <w:t xml:space="preserve">33 425 Kč</w:t>
            </w:r>
          </w:p>
        </w:tc>
        <w:tc>
          <w:tcPr>
            <w:tcW w:w="1000" w:type="dxa"/>
          </w:tcPr>
          <w:p>
            <w:pPr>
              <w:jc w:val="center"/>
            </w:pPr>
            <w:r>
              <w:rPr/>
              <w:t xml:space="preserve">52 250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25 305 Kč</w:t>
            </w:r>
          </w:p>
        </w:tc>
        <w:tc>
          <w:tcPr>
            <w:tcW w:w="1000" w:type="dxa"/>
          </w:tcPr>
          <w:p>
            <w:pPr>
              <w:jc w:val="center"/>
            </w:pPr>
            <w:r>
              <w:rPr/>
              <w:t xml:space="preserve">31 405 Kč</w:t>
            </w:r>
          </w:p>
        </w:tc>
        <w:tc>
          <w:tcPr>
            <w:tcW w:w="1000" w:type="dxa"/>
          </w:tcPr>
          <w:p>
            <w:pPr>
              <w:jc w:val="center"/>
            </w:pPr>
            <w:r>
              <w:rPr/>
              <w:t xml:space="preserve">44 290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21 738 Kč</w:t>
            </w:r>
          </w:p>
        </w:tc>
        <w:tc>
          <w:tcPr>
            <w:tcW w:w="1000" w:type="dxa"/>
          </w:tcPr>
          <w:p>
            <w:pPr>
              <w:jc w:val="center"/>
            </w:pPr>
            <w:r>
              <w:rPr/>
              <w:t xml:space="preserve">27 941 Kč</w:t>
            </w:r>
          </w:p>
        </w:tc>
        <w:tc>
          <w:tcPr>
            <w:tcW w:w="1000" w:type="dxa"/>
          </w:tcPr>
          <w:p>
            <w:pPr>
              <w:jc w:val="center"/>
            </w:pPr>
            <w:r>
              <w:rPr/>
              <w:t xml:space="preserve">38 578 Kč</w:t>
            </w:r>
          </w:p>
        </w:tc>
        <w:tc>
          <w:tcPr>
            <w:tcW w:w="1000" w:type="dxa"/>
          </w:tcPr>
          <w:p/>
        </w:tc>
        <w:tc>
          <w:tcPr>
            <w:tcW w:w="1000" w:type="dxa"/>
          </w:tcPr>
          <w:p/>
        </w:tc>
        <w:tc>
          <w:tcPr>
            <w:tcW w:w="1000" w:type="dxa"/>
          </w:tcPr>
          <w:p/>
        </w:tc>
      </w:tr>
    </w:tbl>
    <w:p/>
    <w:p>
      <w:pPr>
        <w:pStyle w:val="Heading3"/>
      </w:pPr>
      <w:bookmarkStart w:id="7" w:name="_Toc7"/>
      <w:r>
        <w:t>Hrubé měsíční mzdy v roce 2020 celkem</w:t>
      </w:r>
      <w:bookmarkEnd w:id="7"/>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4225</w:t>
            </w:r>
          </w:p>
        </w:tc>
        <w:tc>
          <w:tcPr>
            <w:tcW w:w="2000" w:type="dxa"/>
          </w:tcPr>
          <w:p>
            <w:pPr/>
            <w:r>
              <w:rPr/>
              <w:t xml:space="preserve">Pracovníci v informačních kancelářích</w:t>
            </w:r>
          </w:p>
        </w:tc>
        <w:tc>
          <w:tcPr>
            <w:tcW w:w="1000" w:type="dxa"/>
          </w:tcPr>
          <w:p>
            <w:pPr>
              <w:jc w:val="center"/>
            </w:pPr>
            <w:r>
              <w:rPr/>
              <w:t xml:space="preserve">31 632 Kč</w:t>
            </w:r>
          </w:p>
        </w:tc>
        <w:tc>
          <w:tcPr>
            <w:tcW w:w="1000" w:type="dxa"/>
          </w:tcPr>
          <w:p>
            <w:pPr>
              <w:jc w:val="center"/>
            </w:pPr>
            <w:r>
              <w:rPr/>
              <w:t xml:space="preserve">26 822 Kč</w:t>
            </w:r>
          </w:p>
        </w:tc>
      </w:tr>
      <w:tr>
        <w:trPr/>
        <w:tc>
          <w:tcPr>
            <w:tcW w:w="1000" w:type="dxa"/>
          </w:tcPr>
          <w:p>
            <w:pPr>
              <w:jc w:val="center"/>
            </w:pPr>
            <w:r>
              <w:rPr/>
              <w:t xml:space="preserve">4222</w:t>
            </w:r>
          </w:p>
        </w:tc>
        <w:tc>
          <w:tcPr>
            <w:tcW w:w="2000" w:type="dxa"/>
          </w:tcPr>
          <w:p>
            <w:pPr/>
            <w:r>
              <w:rPr/>
              <w:t xml:space="preserve">Pracovníci v zákaznických kontaktních centrech</w:t>
            </w:r>
          </w:p>
        </w:tc>
        <w:tc>
          <w:tcPr>
            <w:tcW w:w="1000" w:type="dxa"/>
          </w:tcPr>
          <w:p>
            <w:pPr>
              <w:jc w:val="center"/>
            </w:pPr>
            <w:r>
              <w:rPr/>
              <w:t xml:space="preserve">31 280 Kč</w:t>
            </w:r>
          </w:p>
        </w:tc>
        <w:tc>
          <w:tcPr>
            <w:tcW w:w="1000" w:type="dxa"/>
          </w:tcPr>
          <w:p>
            <w:pPr>
              <w:jc w:val="center"/>
            </w:pPr>
            <w:r>
              <w:rPr/>
              <w:t xml:space="preserve">31 256 Kč</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37-42-L/51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Operátor/operátorka poštovních informačních služeb (37-026-M)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h26.D.1004</w:t>
            </w:r>
          </w:p>
        </w:tc>
        <w:tc>
          <w:tcPr>
            <w:tcW w:w="3000" w:type="dxa"/>
          </w:tcPr>
          <w:p>
            <w:pPr/>
            <w:r>
              <w:rPr/>
              <w:t xml:space="preserve">Orientace v normách a platných technologických postupech týkajících se poštovní přepravy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h26.D.1010</w:t>
            </w:r>
          </w:p>
        </w:tc>
        <w:tc>
          <w:tcPr>
            <w:tcW w:w="3000" w:type="dxa"/>
          </w:tcPr>
          <w:p>
            <w:pPr/>
            <w:r>
              <w:rPr/>
              <w:t xml:space="preserve">Orientace v normách a platných technologických postupech týkajících se poštovního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h26.D.1009</w:t>
            </w:r>
          </w:p>
        </w:tc>
        <w:tc>
          <w:tcPr>
            <w:tcW w:w="3000" w:type="dxa"/>
          </w:tcPr>
          <w:p>
            <w:pPr/>
            <w:r>
              <w:rPr/>
              <w:t xml:space="preserve">Orientace v produktech pošty a smluvních partnerů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h26.C.1001</w:t>
            </w:r>
          </w:p>
        </w:tc>
        <w:tc>
          <w:tcPr>
            <w:tcW w:w="3000" w:type="dxa"/>
          </w:tcPr>
          <w:p>
            <w:pPr/>
            <w:r>
              <w:rPr/>
              <w:t xml:space="preserve">Poskytování poradenství v odborných otázkách poštovního provozu a přepravy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h26.C.1026</w:t>
            </w:r>
          </w:p>
        </w:tc>
        <w:tc>
          <w:tcPr>
            <w:tcW w:w="3000" w:type="dxa"/>
          </w:tcPr>
          <w:p>
            <w:pPr/>
            <w:r>
              <w:rPr/>
              <w:t xml:space="preserve">Poskytování informací o poštovních službách a službách smluvních partnerů, včetně okamžité podpory zákazníkům při řešení problémů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h13.C.2012</w:t>
            </w:r>
          </w:p>
        </w:tc>
        <w:tc>
          <w:tcPr>
            <w:tcW w:w="3000" w:type="dxa"/>
          </w:tcPr>
          <w:p>
            <w:pPr/>
            <w:r>
              <w:rPr/>
              <w:t xml:space="preserve">Jednání se zákazníkem</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h26._.0022</w:t>
            </w:r>
          </w:p>
        </w:tc>
        <w:tc>
          <w:tcPr>
            <w:tcW w:w="3000" w:type="dxa"/>
          </w:tcPr>
          <w:p>
            <w:pPr/>
            <w:r>
              <w:rPr/>
              <w:t xml:space="preserve">organizace poštovní přepravy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j22._.0002</w:t>
            </w:r>
          </w:p>
        </w:tc>
        <w:tc>
          <w:tcPr>
            <w:tcW w:w="3000" w:type="dxa"/>
          </w:tcPr>
          <w:p>
            <w:pPr/>
            <w:r>
              <w:rPr/>
              <w:t xml:space="preserve">práce v prostředí Windows</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j22._.0041</w:t>
            </w:r>
          </w:p>
        </w:tc>
        <w:tc>
          <w:tcPr>
            <w:tcW w:w="3000" w:type="dxa"/>
          </w:tcPr>
          <w:p>
            <w:pPr/>
            <w:r>
              <w:rPr/>
              <w:t xml:space="preserve">využívání elektronické pošty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i12._.0051</w:t>
            </w:r>
          </w:p>
        </w:tc>
        <w:tc>
          <w:tcPr>
            <w:tcW w:w="3000" w:type="dxa"/>
          </w:tcPr>
          <w:p>
            <w:pPr/>
            <w:r>
              <w:rPr/>
              <w:t xml:space="preserve">pojišťovnictví obecně, druhy pojištění a jejich rozsahy pojistného krytí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174E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Operátor poštovních informačních služeb</dc:title>
  <dc:description>Operátor poštovních informačních služeb v provozu pošty a call centra zabezpečuje předávání informací o službách spojených s produkty pošty.</dc:description>
  <dc:subject/>
  <cp:keywords/>
  <cp:category>Specializace</cp:category>
  <cp:lastModifiedBy/>
  <dcterms:created xsi:type="dcterms:W3CDTF">2017-11-22T09:12:02+01:00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