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Administrativní pracovník</w:t>
      </w:r>
      <w:bookmarkEnd w:id="1"/>
    </w:p>
    <w:p>
      <w:pPr/>
      <w:r>
        <w:rPr/>
        <w:t xml:space="preserve">Administrativní pracovník zajišťuje veškeré administrativně-technické práce a organizační úkoly.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Příprava podkladů, formálních dokumentů pro jednání a porady, zpracování zápisů.</w:t>
      </w:r>
    </w:p>
    <w:p>
      <w:pPr>
        <w:numPr>
          <w:ilvl w:val="0"/>
          <w:numId w:val="5"/>
        </w:numPr>
      </w:pPr>
      <w:r>
        <w:rPr/>
        <w:t xml:space="preserve">Zajištění překladů dokumentů, tlumočení jednání.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archivace dokumentů.</w:t>
      </w:r>
    </w:p>
    <w:p>
      <w:pPr>
        <w:numPr>
          <w:ilvl w:val="0"/>
          <w:numId w:val="5"/>
        </w:numPr>
      </w:pPr>
      <w:r>
        <w:rPr/>
        <w:t xml:space="preserve">Vystavování a evidence faktur a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písemností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písemnostmi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282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Administrativní pracovník</dc:title>
  <dc:description>Administrativní pracovník zajišťuje veškeré administrativně-technické práce a organizační úkoly. </dc:description>
  <dc:subject/>
  <cp:keywords/>
  <cp:category>Povolání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