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elektrické sítě</w:t>
      </w:r>
      <w:bookmarkEnd w:id="1"/>
    </w:p>
    <w:p>
      <w:pPr/>
      <w:r>
        <w:rPr/>
        <w:t xml:space="preserve">Samostatný technik rozvoje elektrické sítě vykonává odborné činnosti v oblasti rozvoje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technického rozvoje, Technical development specialist,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podkladů pro strategická rozhodnutí v oblasti rozvoje a obnovy elektrizačních sítí.</w:t>
      </w:r>
    </w:p>
    <w:p>
      <w:pPr>
        <w:numPr>
          <w:ilvl w:val="0"/>
          <w:numId w:val="5"/>
        </w:numPr>
      </w:pPr>
      <w:r>
        <w:rPr/>
        <w:t xml:space="preserve">Zpracovávání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Provádění analýz stavu a technických řešení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rozvojových záměrů.</w:t>
      </w:r>
    </w:p>
    <w:p>
      <w:pPr>
        <w:numPr>
          <w:ilvl w:val="0"/>
          <w:numId w:val="5"/>
        </w:numPr>
      </w:pPr>
      <w:r>
        <w:rPr/>
        <w:t xml:space="preserve">Jednání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Řešení požadavků zákazníků na připojení do elektrizační sítě.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5B86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elektrické sítě</dc:title>
  <dc:description>Samostatný technik rozvoje elektrické sítě vykonává odborné činnosti v oblasti rozvoje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