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rovných příležitostí ve školství</w:t>
      </w:r>
      <w:bookmarkEnd w:id="1"/>
    </w:p>
    <w:p>
      <w:pPr/>
      <w:r>
        <w:rPr/>
        <w:t xml:space="preserve">Odborný referent rovných příležitostí ve školství zajišťuje výkon státní správy, zabezpečuje dílčí koncepční, metodické, analytické a další práce na úseku rovných příležitostí ve školství.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Koordinace a metodické usměrňování dílčích oblastí rovných příležitostí ve školství včetně rozborové činnosti.</w:t>
      </w:r>
    </w:p>
    <w:p>
      <w:pPr>
        <w:numPr>
          <w:ilvl w:val="0"/>
          <w:numId w:val="5"/>
        </w:numPr>
      </w:pPr>
      <w:r>
        <w:rPr/>
        <w:t xml:space="preserve">Monitoring, analýzy, metodické, konzultační a poradenské činnosti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Spolupráce při vyřizování stížností a kontrolní činnosti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Příprava částí právních předpisů, legislativních a právních stanovisek v oblasti rovných příležitostí ve školství (včetně legislativy Evropské unie).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rovných příležitostí ve školství.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metodická, poradenská a konzultační činnost v oboru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poradenských a konzultačních činností v dílčích úsecích správy nebo samosprávy včetně vydávání stanovisek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vzdělávání v oblasti rovných příležitostí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rovných příležitostí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6F0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rovných příležitostí ve školství</dc:title>
  <dc:description>Odborný referent rovných příležitostí ve školství zajišťuje výkon státní správy, zabezpečuje dílčí koncepční, metodické, analytické a další práce na úseku rovných příležitostí ve školství.</dc:description>
  <dc:subject/>
  <cp:keywords/>
  <cp:category>Specializace</cp:category>
  <cp:lastModifiedBy/>
  <dcterms:created xsi:type="dcterms:W3CDTF">2017-11-22T09:07:36+01:00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