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Přípravář keramických hmot</w:t>
      </w:r>
      <w:bookmarkEnd w:id="1"/>
    </w:p>
    <w:p>
      <w:pPr/>
      <w:r>
        <w:rPr/>
        <w:t xml:space="preserve">Přípravář keramických hmot zhotovuje hmoty a glazury.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Slip Preparation Worker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přípravy keramických hmot (28-031-H)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keramických hmot, glazur a engob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surovin pro výrobu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pro přípravu výrobních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453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Přípravář keramických hmot</dc:title>
  <dc:description>Přípravář keramických hmot zhotovuje hmoty a glazury.</dc:description>
  <dc:subject/>
  <cp:keywords/>
  <cp:category>Specializace</cp:category>
  <cp:lastModifiedBy/>
  <dcterms:created xsi:type="dcterms:W3CDTF">2017-11-22T09:10:22+01:00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