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Specialista pro obchodní operace na finančních trzích</w:t>
      </w:r>
      <w:bookmarkEnd w:id="1"/>
    </w:p>
    <w:p>
      <w:pPr/>
      <w:r>
        <w:rPr/>
        <w:t xml:space="preserve">Specialista pro obchodní operace na finančních trzích provádí, koordinuje a zajišťuje nákup a prodej cenných papírů, akcií a obligací na domácím a zahraničním finančním trhu, spravuje investiční / devizová aktiva a provádí expertní analýzy a prognózy.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Bankovnictví, finance a pojišťovnictví</w:t>
            </w:r>
          </w:p>
        </w:tc>
      </w:tr>
      <w:tr>
        <w:trPr/>
        <w:tc>
          <w:tcPr/>
          <w:p>
            <w:pPr/>
            <w:r>
              <w:rPr>
                <w:b w:val="1"/>
                <w:bCs w:val="1"/>
              </w:rPr>
              <w:t xml:space="preserve">Odborný podsměr:</w:t>
            </w:r>
          </w:p>
        </w:tc>
        <w:tc>
          <w:tcPr/>
          <w:p>
            <w:pPr/>
            <w:r>
              <w:rPr/>
              <w:t xml:space="preserve">bankovnictví a finanční služby</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Bankovní specialista, Dealer, Specialista analýzy finančního trhu, Specialista bankovních strategií, Analytik operací na finančních trzích, Specialista obchodních operací na finančních trzích, Expert operací na finančních trzích, Specialista operací na volném trhu, Specialista prodeje na finančních trzích, Burzovní makléř  Specialist for business and sales operations in financial markets Spezialist für Geschäfts- und Vertriebsaktivitäten auf den Finanzmärkten</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Posuzování výsledků analýz finančních trhů a dalších skutečností ovlivňujících situaci na finančních trzích.</w:t>
      </w:r>
    </w:p>
    <w:p>
      <w:pPr>
        <w:numPr>
          <w:ilvl w:val="0"/>
          <w:numId w:val="5"/>
        </w:numPr>
      </w:pPr>
      <w:r>
        <w:rPr/>
        <w:t xml:space="preserve">Vyhodnocování výsledků umístění cenných papírů na kapitálovém a devizovém trhu.</w:t>
      </w:r>
    </w:p>
    <w:p>
      <w:pPr>
        <w:numPr>
          <w:ilvl w:val="0"/>
          <w:numId w:val="5"/>
        </w:numPr>
      </w:pPr>
      <w:r>
        <w:rPr/>
        <w:t xml:space="preserve">Průběžné vyhodnocování kurzové a úrokové politiky banky.</w:t>
      </w:r>
    </w:p>
    <w:p>
      <w:pPr>
        <w:numPr>
          <w:ilvl w:val="0"/>
          <w:numId w:val="5"/>
        </w:numPr>
      </w:pPr>
      <w:r>
        <w:rPr/>
        <w:t xml:space="preserve">Provádí intervence na devizovém a kapitálovém trhu.</w:t>
      </w:r>
    </w:p>
    <w:p>
      <w:pPr>
        <w:numPr>
          <w:ilvl w:val="0"/>
          <w:numId w:val="5"/>
        </w:numPr>
      </w:pPr>
      <w:r>
        <w:rPr/>
        <w:t xml:space="preserve">Rozhodování o postupech při správě investičního / devizového portfolia.</w:t>
      </w:r>
    </w:p>
    <w:p>
      <w:pPr>
        <w:numPr>
          <w:ilvl w:val="0"/>
          <w:numId w:val="5"/>
        </w:numPr>
      </w:pPr>
      <w:r>
        <w:rPr/>
        <w:t xml:space="preserve">Analyzování finančních trhů a makroekonomických trendů.</w:t>
      </w:r>
    </w:p>
    <w:p>
      <w:pPr>
        <w:numPr>
          <w:ilvl w:val="0"/>
          <w:numId w:val="5"/>
        </w:numPr>
      </w:pPr>
      <w:r>
        <w:rPr/>
        <w:t xml:space="preserve">Vyhledávání investičních příležitostí a realizace obchodních transakcí.</w:t>
      </w:r>
    </w:p>
    <w:p>
      <w:pPr>
        <w:numPr>
          <w:ilvl w:val="0"/>
          <w:numId w:val="5"/>
        </w:numPr>
      </w:pPr>
      <w:r>
        <w:rPr/>
        <w:t xml:space="preserve">Zpracovávání operativních informací o aktuálním vývoji na trhu a navrhování postupů při správě rezerv.</w:t>
      </w:r>
    </w:p>
    <w:p>
      <w:pPr>
        <w:numPr>
          <w:ilvl w:val="0"/>
          <w:numId w:val="5"/>
        </w:numPr>
      </w:pPr>
      <w:r>
        <w:rPr/>
        <w:t xml:space="preserve">Zveřejňování kurzovního lístku vybraných cizích měn.</w:t>
      </w:r>
    </w:p>
    <w:p>
      <w:pPr>
        <w:numPr>
          <w:ilvl w:val="0"/>
          <w:numId w:val="5"/>
        </w:numPr>
      </w:pPr>
      <w:r>
        <w:rPr/>
        <w:t xml:space="preserve">Obchodování s finančními a investičními nástroji kapitálového a devizového trhu na tuzemských a zahraničních finančních trzích.</w:t>
      </w:r>
    </w:p>
    <w:p>
      <w:pPr>
        <w:numPr>
          <w:ilvl w:val="0"/>
          <w:numId w:val="5"/>
        </w:numPr>
      </w:pPr>
      <w:r>
        <w:rPr/>
        <w:t xml:space="preserve">Analyzování požadavků a potřeb klientů a obchodníků s cennými papíry na finančním trhu.</w:t>
      </w:r>
    </w:p>
    <w:p>
      <w:pPr>
        <w:numPr>
          <w:ilvl w:val="0"/>
          <w:numId w:val="5"/>
        </w:numPr>
      </w:pPr>
      <w:r>
        <w:rPr/>
        <w:t xml:space="preserve">Řízení obchodních vztahů s bankovními a nebankovními finančními institucemi a činnosti depozitáře pro správcovské společnosti.</w:t>
      </w:r>
    </w:p>
    <w:p>
      <w:pPr>
        <w:numPr>
          <w:ilvl w:val="0"/>
          <w:numId w:val="5"/>
        </w:numPr>
      </w:pPr>
      <w:r>
        <w:rPr/>
        <w:t xml:space="preserve">Výkon činnosti depozitáře pro správcovské společnosti.</w:t>
      </w:r>
    </w:p>
    <w:p>
      <w:pPr>
        <w:numPr>
          <w:ilvl w:val="0"/>
          <w:numId w:val="5"/>
        </w:numPr>
      </w:pPr>
      <w:r>
        <w:rPr/>
        <w:t xml:space="preserve">Zpracovávání metodických materiálů a pracovních postupů k tvorbě výkazů.</w:t>
      </w:r>
    </w:p>
    <w:p>
      <w:pPr>
        <w:numPr>
          <w:ilvl w:val="0"/>
          <w:numId w:val="5"/>
        </w:numPr>
      </w:pPr>
      <w:r>
        <w:rPr/>
        <w:t xml:space="preserve">Vypracovávání statistických výkazů a předepsané evidence.</w:t>
      </w:r>
    </w:p>
    <w:p>
      <w:pPr>
        <w:numPr>
          <w:ilvl w:val="0"/>
          <w:numId w:val="5"/>
        </w:numPr>
      </w:pPr>
      <w:r>
        <w:rPr/>
        <w:t xml:space="preserve">Zajišťování analytické, koncepční, řídící a kontrolní činnosti.</w:t>
      </w:r>
    </w:p>
    <w:p>
      <w:pPr>
        <w:numPr>
          <w:ilvl w:val="0"/>
          <w:numId w:val="5"/>
        </w:numPr>
      </w:pPr>
      <w:r>
        <w:rPr/>
        <w:t xml:space="preserve">Vyhledávání a získávání nových klientů banky a obchodních partnerů.</w:t>
      </w:r>
    </w:p>
    <w:p>
      <w:pPr>
        <w:numPr>
          <w:ilvl w:val="0"/>
          <w:numId w:val="5"/>
        </w:numPr>
      </w:pPr>
      <w:r>
        <w:rPr/>
        <w:t xml:space="preserve">Poradenská a konzultační činnost.</w:t>
      </w:r>
    </w:p>
    <w:p/>
    <w:p>
      <w:pPr>
        <w:pStyle w:val="Heading2"/>
      </w:pPr>
      <w:bookmarkStart w:id="3" w:name="_Toc3"/>
      <w:r>
        <w:t>CZ-ISCO</w:t>
      </w:r>
      <w:bookmarkEnd w:id="3"/>
    </w:p>
    <w:p>
      <w:pPr>
        <w:numPr>
          <w:ilvl w:val="0"/>
          <w:numId w:val="5"/>
        </w:numPr>
      </w:pPr>
      <w:r>
        <w:rPr/>
        <w:t xml:space="preserve">Metodici a analytici finančního trhu</w:t>
      </w:r>
    </w:p>
    <w:p>
      <w:pPr>
        <w:numPr>
          <w:ilvl w:val="0"/>
          <w:numId w:val="5"/>
        </w:numPr>
      </w:pPr>
      <w:r>
        <w:rPr/>
        <w:t xml:space="preserve">Finanční analytici a specialisté v peněžnictví a pojišťovnictví</w:t>
      </w:r>
    </w:p>
    <w:p/>
    <w:p>
      <w:pPr>
        <w:pStyle w:val="Heading3"/>
      </w:pPr>
      <w:bookmarkStart w:id="4" w:name="_Toc4"/>
      <w:r>
        <w:t>Hrubé měsíční mzdy podle krajů v roce 2023</w:t>
      </w:r>
      <w:bookmarkEnd w:id="4"/>
    </w:p>
    <w:p>
      <w:pPr>
        <w:pStyle w:val="Heading4"/>
      </w:pPr>
      <w:bookmarkStart w:id="5" w:name="_Toc5"/>
      <w:r>
        <w:t>Finanční analytici a specialisté v peněžnictví a pojišťovnictví (CZ-ISCO 2413)</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43 000 Kč</w:t>
            </w:r>
          </w:p>
        </w:tc>
        <w:tc>
          <w:tcPr>
            <w:tcW w:w="1000" w:type="dxa"/>
          </w:tcPr>
          <w:p>
            <w:pPr>
              <w:jc w:val="center"/>
            </w:pPr>
            <w:r>
              <w:rPr/>
              <w:t xml:space="preserve">70 425 Kč</w:t>
            </w:r>
          </w:p>
        </w:tc>
        <w:tc>
          <w:tcPr>
            <w:tcW w:w="1000" w:type="dxa"/>
          </w:tcPr>
          <w:p>
            <w:pPr>
              <w:jc w:val="center"/>
            </w:pPr>
            <w:r>
              <w:rPr>
                <w:sz w:val="16"/>
                <w:szCs w:val="16"/>
              </w:rPr>
              <w:t xml:space="preserve">129 062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46 521 Kč</w:t>
            </w:r>
          </w:p>
        </w:tc>
        <w:tc>
          <w:tcPr>
            <w:tcW w:w="1000" w:type="dxa"/>
          </w:tcPr>
          <w:p>
            <w:pPr>
              <w:jc w:val="center"/>
            </w:pPr>
            <w:r>
              <w:rPr/>
              <w:t xml:space="preserve">62 865 Kč</w:t>
            </w:r>
          </w:p>
        </w:tc>
        <w:tc>
          <w:tcPr>
            <w:tcW w:w="1000" w:type="dxa"/>
          </w:tcPr>
          <w:p>
            <w:pPr>
              <w:jc w:val="center"/>
            </w:pPr>
            <w:r>
              <w:rPr>
                <w:sz w:val="16"/>
                <w:szCs w:val="16"/>
              </w:rPr>
              <w:t xml:space="preserve">143 213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36 998 Kč</w:t>
            </w:r>
          </w:p>
        </w:tc>
        <w:tc>
          <w:tcPr>
            <w:tcW w:w="1000" w:type="dxa"/>
          </w:tcPr>
          <w:p>
            <w:pPr>
              <w:jc w:val="center"/>
            </w:pPr>
            <w:r>
              <w:rPr/>
              <w:t xml:space="preserve">58 236 Kč</w:t>
            </w:r>
          </w:p>
        </w:tc>
        <w:tc>
          <w:tcPr>
            <w:tcW w:w="1000" w:type="dxa"/>
          </w:tcPr>
          <w:p>
            <w:pPr>
              <w:jc w:val="center"/>
            </w:pPr>
            <w:r>
              <w:rPr>
                <w:sz w:val="16"/>
                <w:szCs w:val="16"/>
              </w:rPr>
              <w:t xml:space="preserve">102 271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43 104 Kč</w:t>
            </w:r>
          </w:p>
        </w:tc>
        <w:tc>
          <w:tcPr>
            <w:tcW w:w="1000" w:type="dxa"/>
          </w:tcPr>
          <w:p>
            <w:pPr>
              <w:jc w:val="center"/>
            </w:pPr>
            <w:r>
              <w:rPr/>
              <w:t xml:space="preserve">58 013 Kč</w:t>
            </w:r>
          </w:p>
        </w:tc>
        <w:tc>
          <w:tcPr>
            <w:tcW w:w="1000" w:type="dxa"/>
          </w:tcPr>
          <w:p>
            <w:pPr>
              <w:jc w:val="center"/>
            </w:pPr>
            <w:r>
              <w:rPr>
                <w:sz w:val="16"/>
                <w:szCs w:val="16"/>
              </w:rPr>
              <w:t xml:space="preserve">111 701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35 220 Kč</w:t>
            </w:r>
          </w:p>
        </w:tc>
        <w:tc>
          <w:tcPr>
            <w:tcW w:w="1000" w:type="dxa"/>
          </w:tcPr>
          <w:p>
            <w:pPr>
              <w:jc w:val="center"/>
            </w:pPr>
            <w:r>
              <w:rPr/>
              <w:t xml:space="preserve">60 547 Kč</w:t>
            </w:r>
          </w:p>
        </w:tc>
        <w:tc>
          <w:tcPr>
            <w:tcW w:w="1000" w:type="dxa"/>
          </w:tcPr>
          <w:p>
            <w:pPr>
              <w:jc w:val="center"/>
            </w:pPr>
            <w:r>
              <w:rPr/>
              <w:t xml:space="preserve">91 929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32 854 Kč</w:t>
            </w:r>
          </w:p>
        </w:tc>
        <w:tc>
          <w:tcPr>
            <w:tcW w:w="1000" w:type="dxa"/>
          </w:tcPr>
          <w:p>
            <w:pPr>
              <w:jc w:val="center"/>
            </w:pPr>
            <w:r>
              <w:rPr/>
              <w:t xml:space="preserve">55 645 Kč</w:t>
            </w:r>
          </w:p>
        </w:tc>
        <w:tc>
          <w:tcPr>
            <w:tcW w:w="1000" w:type="dxa"/>
          </w:tcPr>
          <w:p>
            <w:pPr>
              <w:jc w:val="center"/>
            </w:pPr>
            <w:r>
              <w:rPr/>
              <w:t xml:space="preserve">97 036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41 789 Kč</w:t>
            </w:r>
          </w:p>
        </w:tc>
        <w:tc>
          <w:tcPr>
            <w:tcW w:w="1000" w:type="dxa"/>
          </w:tcPr>
          <w:p>
            <w:pPr>
              <w:jc w:val="center"/>
            </w:pPr>
            <w:r>
              <w:rPr/>
              <w:t xml:space="preserve">55 534 Kč</w:t>
            </w:r>
          </w:p>
        </w:tc>
        <w:tc>
          <w:tcPr>
            <w:tcW w:w="1000" w:type="dxa"/>
          </w:tcPr>
          <w:p>
            <w:pPr>
              <w:jc w:val="center"/>
            </w:pPr>
            <w:r>
              <w:rPr/>
              <w:t xml:space="preserve">99 988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41 194 Kč</w:t>
            </w:r>
          </w:p>
        </w:tc>
        <w:tc>
          <w:tcPr>
            <w:tcW w:w="1000" w:type="dxa"/>
          </w:tcPr>
          <w:p>
            <w:pPr>
              <w:jc w:val="center"/>
            </w:pPr>
            <w:r>
              <w:rPr/>
              <w:t xml:space="preserve">60 362 Kč</w:t>
            </w:r>
          </w:p>
        </w:tc>
        <w:tc>
          <w:tcPr>
            <w:tcW w:w="1000" w:type="dxa"/>
          </w:tcPr>
          <w:p>
            <w:pPr>
              <w:jc w:val="center"/>
            </w:pPr>
            <w:r>
              <w:rPr/>
              <w:t xml:space="preserve">98 144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37 747 Kč</w:t>
            </w:r>
          </w:p>
        </w:tc>
        <w:tc>
          <w:tcPr>
            <w:tcW w:w="1000" w:type="dxa"/>
          </w:tcPr>
          <w:p>
            <w:pPr>
              <w:jc w:val="center"/>
            </w:pPr>
            <w:r>
              <w:rPr/>
              <w:t xml:space="preserve">52 283 Kč</w:t>
            </w:r>
          </w:p>
        </w:tc>
        <w:tc>
          <w:tcPr>
            <w:tcW w:w="1000" w:type="dxa"/>
          </w:tcPr>
          <w:p>
            <w:pPr>
              <w:jc w:val="center"/>
            </w:pPr>
            <w:r>
              <w:rPr/>
              <w:t xml:space="preserve">81 082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39 450 Kč</w:t>
            </w:r>
          </w:p>
        </w:tc>
        <w:tc>
          <w:tcPr>
            <w:tcW w:w="1000" w:type="dxa"/>
          </w:tcPr>
          <w:p>
            <w:pPr>
              <w:jc w:val="center"/>
            </w:pPr>
            <w:r>
              <w:rPr/>
              <w:t xml:space="preserve">59 238 Kč</w:t>
            </w:r>
          </w:p>
        </w:tc>
        <w:tc>
          <w:tcPr>
            <w:tcW w:w="1000" w:type="dxa"/>
          </w:tcPr>
          <w:p>
            <w:pPr>
              <w:jc w:val="center"/>
            </w:pPr>
            <w:r>
              <w:rPr/>
              <w:t xml:space="preserve">92 516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41 555 Kč</w:t>
            </w:r>
          </w:p>
        </w:tc>
        <w:tc>
          <w:tcPr>
            <w:tcW w:w="1000" w:type="dxa"/>
          </w:tcPr>
          <w:p>
            <w:pPr>
              <w:jc w:val="center"/>
            </w:pPr>
            <w:r>
              <w:rPr/>
              <w:t xml:space="preserve">55 292 Kč</w:t>
            </w:r>
          </w:p>
        </w:tc>
        <w:tc>
          <w:tcPr>
            <w:tcW w:w="1000" w:type="dxa"/>
          </w:tcPr>
          <w:p>
            <w:pPr>
              <w:jc w:val="center"/>
            </w:pPr>
            <w:r>
              <w:rPr>
                <w:sz w:val="16"/>
                <w:szCs w:val="16"/>
              </w:rPr>
              <w:t xml:space="preserve">106 467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34 894 Kč</w:t>
            </w:r>
          </w:p>
        </w:tc>
        <w:tc>
          <w:tcPr>
            <w:tcW w:w="1000" w:type="dxa"/>
          </w:tcPr>
          <w:p>
            <w:pPr>
              <w:jc w:val="center"/>
            </w:pPr>
            <w:r>
              <w:rPr/>
              <w:t xml:space="preserve">49 175 Kč</w:t>
            </w:r>
          </w:p>
        </w:tc>
        <w:tc>
          <w:tcPr>
            <w:tcW w:w="1000" w:type="dxa"/>
          </w:tcPr>
          <w:p>
            <w:pPr>
              <w:jc w:val="center"/>
            </w:pPr>
            <w:r>
              <w:rPr/>
              <w:t xml:space="preserve">80 495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33 688 Kč</w:t>
            </w:r>
          </w:p>
        </w:tc>
        <w:tc>
          <w:tcPr>
            <w:tcW w:w="1000" w:type="dxa"/>
          </w:tcPr>
          <w:p>
            <w:pPr>
              <w:jc w:val="center"/>
            </w:pPr>
            <w:r>
              <w:rPr/>
              <w:t xml:space="preserve">53 879 Kč</w:t>
            </w:r>
          </w:p>
        </w:tc>
        <w:tc>
          <w:tcPr>
            <w:tcW w:w="1000" w:type="dxa"/>
          </w:tcPr>
          <w:p>
            <w:pPr>
              <w:jc w:val="center"/>
            </w:pPr>
            <w:r>
              <w:rPr/>
              <w:t xml:space="preserve">92 953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2413</w:t>
            </w:r>
          </w:p>
        </w:tc>
        <w:tc>
          <w:tcPr>
            <w:tcW w:w="2000" w:type="dxa"/>
          </w:tcPr>
          <w:p>
            <w:pPr/>
            <w:r>
              <w:rPr/>
              <w:t xml:space="preserve">Finanční analytici a specialisté v peněžnictví a pojišťovnictví</w:t>
            </w:r>
          </w:p>
        </w:tc>
        <w:tc>
          <w:tcPr>
            <w:tcW w:w="1000" w:type="dxa"/>
          </w:tcPr>
          <w:p>
            <w:pPr>
              <w:jc w:val="center"/>
            </w:pPr>
            <w:r>
              <w:rPr/>
              <w:t xml:space="preserve">54 017 Kč</w:t>
            </w:r>
          </w:p>
        </w:tc>
        <w:tc>
          <w:tcPr>
            <w:tcW w:w="1000" w:type="dxa"/>
          </w:tcPr>
          <w:p>
            <w:pPr>
              <w:jc w:val="center"/>
            </w:pPr>
            <w:r>
              <w:rPr/>
              <w:t xml:space="preserve">68 095 Kč</w:t>
            </w:r>
          </w:p>
        </w:tc>
      </w:tr>
      <w:tr>
        <w:trPr/>
        <w:tc>
          <w:tcPr>
            <w:tcW w:w="1000" w:type="dxa"/>
          </w:tcPr>
          <w:p>
            <w:pPr>
              <w:jc w:val="center"/>
            </w:pPr>
            <w:r>
              <w:rPr/>
              <w:t xml:space="preserve">24131</w:t>
            </w:r>
          </w:p>
        </w:tc>
        <w:tc>
          <w:tcPr>
            <w:tcW w:w="2000" w:type="dxa"/>
          </w:tcPr>
          <w:p>
            <w:pPr/>
            <w:r>
              <w:rPr/>
              <w:t xml:space="preserve">Metodici a analytici finančního trhu</w:t>
            </w:r>
          </w:p>
        </w:tc>
        <w:tc>
          <w:tcPr>
            <w:tcW w:w="1000" w:type="dxa"/>
          </w:tcPr>
          <w:p>
            <w:pPr>
              <w:jc w:val="center"/>
            </w:pPr>
            <w:r>
              <w:rPr/>
              <w:t xml:space="preserve">-</w:t>
            </w:r>
          </w:p>
        </w:tc>
        <w:tc>
          <w:tcPr>
            <w:tcW w:w="1000" w:type="dxa"/>
          </w:tcPr>
          <w:p>
            <w:pPr>
              <w:jc w:val="center"/>
            </w:pPr>
            <w:r>
              <w:rPr/>
              <w:t xml:space="preserve">86 992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2413</w:t>
            </w:r>
          </w:p>
        </w:tc>
        <w:tc>
          <w:tcPr>
            <w:tcW w:w="3000" w:type="dxa"/>
          </w:tcPr>
          <w:p>
            <w:pPr/>
            <w:r>
              <w:rPr/>
              <w:t xml:space="preserve">Finanční analytici</w:t>
            </w:r>
          </w:p>
        </w:tc>
        <w:tc>
          <w:tcPr>
            <w:tcW w:w="3000" w:type="dxa"/>
          </w:tcPr>
          <w:p>
            <w:pPr/>
            <w:r>
              <w:rPr/>
              <w:t xml:space="preserve">http://data.europa.eu/esco/isco/C2413</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a podnikání</w:t>
            </w:r>
          </w:p>
        </w:tc>
        <w:tc>
          <w:tcPr>
            <w:tcW w:w="2000" w:type="dxa"/>
          </w:tcPr>
          <w:p>
            <w:pPr>
              <w:jc w:val="center"/>
            </w:pPr>
            <w:r>
              <w:rPr/>
              <w:t xml:space="preserve">6341M</w:t>
            </w:r>
          </w:p>
        </w:tc>
      </w:tr>
      <w:tr>
        <w:trPr/>
        <w:tc>
          <w:tcPr>
            <w:tcW w:w="2000" w:type="dxa"/>
          </w:tcPr>
          <w:p>
            <w:pPr>
              <w:jc w:val="center"/>
            </w:pPr>
            <w:r>
              <w:rPr/>
              <w:t xml:space="preserve">AKSO</w:t>
            </w:r>
          </w:p>
        </w:tc>
        <w:tc>
          <w:tcPr>
            <w:tcW w:w="5000" w:type="dxa"/>
          </w:tcPr>
          <w:p>
            <w:pPr/>
            <w:r>
              <w:rPr/>
              <w:t xml:space="preserve">Ekonomika a řízení obchodních a výrobních firem</w:t>
            </w:r>
          </w:p>
        </w:tc>
        <w:tc>
          <w:tcPr>
            <w:tcW w:w="2000" w:type="dxa"/>
          </w:tcPr>
          <w:p>
            <w:pPr>
              <w:jc w:val="center"/>
            </w:pPr>
            <w:r>
              <w:rPr/>
              <w:t xml:space="preserve">6341M003</w:t>
            </w:r>
          </w:p>
        </w:tc>
      </w:tr>
      <w:tr>
        <w:trPr/>
        <w:tc>
          <w:tcPr>
            <w:tcW w:w="2000" w:type="dxa"/>
          </w:tcPr>
          <w:p>
            <w:pPr>
              <w:jc w:val="center"/>
            </w:pPr>
            <w:r>
              <w:rPr/>
              <w:t xml:space="preserve">AKSO</w:t>
            </w:r>
          </w:p>
        </w:tc>
        <w:tc>
          <w:tcPr>
            <w:tcW w:w="5000" w:type="dxa"/>
          </w:tcPr>
          <w:p>
            <w:pPr/>
            <w:r>
              <w:rPr/>
              <w:t xml:space="preserve">Obchod a podnikání</w:t>
            </w:r>
          </w:p>
        </w:tc>
        <w:tc>
          <w:tcPr>
            <w:tcW w:w="2000" w:type="dxa"/>
          </w:tcPr>
          <w:p>
            <w:pPr>
              <w:jc w:val="center"/>
            </w:pPr>
            <w:r>
              <w:rPr/>
              <w:t xml:space="preserve">6341M007</w:t>
            </w:r>
          </w:p>
        </w:tc>
      </w:tr>
      <w:tr>
        <w:trPr/>
        <w:tc>
          <w:tcPr>
            <w:tcW w:w="2000" w:type="dxa"/>
          </w:tcPr>
          <w:p>
            <w:pPr>
              <w:jc w:val="center"/>
            </w:pPr>
            <w:r>
              <w:rPr/>
              <w:t xml:space="preserve">AKSO</w:t>
            </w:r>
          </w:p>
        </w:tc>
        <w:tc>
          <w:tcPr>
            <w:tcW w:w="5000" w:type="dxa"/>
          </w:tcPr>
          <w:p>
            <w:pPr/>
            <w:r>
              <w:rPr/>
              <w:t xml:space="preserve">Specialista pro obchodní a manažerskou činnost</w:t>
            </w:r>
          </w:p>
        </w:tc>
        <w:tc>
          <w:tcPr>
            <w:tcW w:w="2000" w:type="dxa"/>
          </w:tcPr>
          <w:p>
            <w:pPr>
              <w:jc w:val="center"/>
            </w:pPr>
            <w:r>
              <w:rPr/>
              <w:t xml:space="preserve">6341M017</w:t>
            </w:r>
          </w:p>
        </w:tc>
      </w:tr>
      <w:tr>
        <w:trPr/>
        <w:tc>
          <w:tcPr>
            <w:tcW w:w="2000" w:type="dxa"/>
          </w:tcPr>
          <w:p>
            <w:pPr>
              <w:jc w:val="center"/>
            </w:pPr>
            <w:r>
              <w:rPr/>
              <w:t xml:space="preserve">AKSO</w:t>
            </w:r>
          </w:p>
        </w:tc>
        <w:tc>
          <w:tcPr>
            <w:tcW w:w="5000" w:type="dxa"/>
          </w:tcPr>
          <w:p>
            <w:pPr/>
            <w:r>
              <w:rPr/>
              <w:t xml:space="preserve">Firemní a finanční management</w:t>
            </w:r>
          </w:p>
        </w:tc>
        <w:tc>
          <w:tcPr>
            <w:tcW w:w="2000" w:type="dxa"/>
          </w:tcPr>
          <w:p>
            <w:pPr>
              <w:jc w:val="center"/>
            </w:pPr>
            <w:r>
              <w:rPr/>
              <w:t xml:space="preserve">6341M019</w:t>
            </w:r>
          </w:p>
        </w:tc>
      </w:tr>
      <w:tr>
        <w:trPr/>
        <w:tc>
          <w:tcPr>
            <w:tcW w:w="2000" w:type="dxa"/>
          </w:tcPr>
          <w:p>
            <w:pPr>
              <w:jc w:val="center"/>
            </w:pPr>
            <w:r>
              <w:rPr/>
              <w:t xml:space="preserve">KKOV</w:t>
            </w:r>
          </w:p>
        </w:tc>
        <w:tc>
          <w:tcPr>
            <w:tcW w:w="5000" w:type="dxa"/>
          </w:tcPr>
          <w:p>
            <w:pPr/>
            <w:r>
              <w:rPr/>
              <w:t xml:space="preserve">Střední vzdělání s maturitní zkouškou (bez vyučení) v oboru finančnictví a bankovnictví</w:t>
            </w:r>
          </w:p>
        </w:tc>
        <w:tc>
          <w:tcPr>
            <w:tcW w:w="2000" w:type="dxa"/>
          </w:tcPr>
          <w:p>
            <w:pPr>
              <w:jc w:val="center"/>
            </w:pPr>
            <w:r>
              <w:rPr/>
              <w:t xml:space="preserve">6343M</w:t>
            </w:r>
          </w:p>
        </w:tc>
      </w:tr>
      <w:tr>
        <w:trPr/>
        <w:tc>
          <w:tcPr>
            <w:tcW w:w="2000" w:type="dxa"/>
          </w:tcPr>
          <w:p>
            <w:pPr>
              <w:jc w:val="center"/>
            </w:pPr>
            <w:r>
              <w:rPr/>
              <w:t xml:space="preserve">AKSO</w:t>
            </w:r>
          </w:p>
        </w:tc>
        <w:tc>
          <w:tcPr>
            <w:tcW w:w="5000" w:type="dxa"/>
          </w:tcPr>
          <w:p>
            <w:pPr/>
            <w:r>
              <w:rPr/>
              <w:t xml:space="preserve">Bankovnictví a pojišťovnictví</w:t>
            </w:r>
          </w:p>
        </w:tc>
        <w:tc>
          <w:tcPr>
            <w:tcW w:w="2000" w:type="dxa"/>
          </w:tcPr>
          <w:p>
            <w:pPr>
              <w:jc w:val="center"/>
            </w:pPr>
            <w:r>
              <w:rPr/>
              <w:t xml:space="preserve">6343M001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i13.C.2319</w:t>
            </w:r>
          </w:p>
        </w:tc>
        <w:tc>
          <w:tcPr>
            <w:tcW w:w="3000" w:type="dxa"/>
          </w:tcPr>
          <w:p>
            <w:pPr/>
            <w:r>
              <w:rPr/>
              <w:t xml:space="preserve">Zprostředkovávání obchodů na mezibankovním finančním trhu (forwardové, spotové a další operace)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i13.C.2451</w:t>
            </w:r>
          </w:p>
        </w:tc>
        <w:tc>
          <w:tcPr>
            <w:tcW w:w="3000" w:type="dxa"/>
          </w:tcPr>
          <w:p>
            <w:pPr/>
            <w:r>
              <w:rPr/>
              <w:t xml:space="preserve">Realizace investičních záměrů společnosti v oblasti investování na kapitálových trzích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i13.C.3451</w:t>
            </w:r>
          </w:p>
        </w:tc>
        <w:tc>
          <w:tcPr>
            <w:tcW w:w="3000" w:type="dxa"/>
          </w:tcPr>
          <w:p>
            <w:pPr/>
            <w:r>
              <w:rPr/>
              <w:t xml:space="preserve">Obchodování se všemi druhy cenných papírů (akcie, obligace, dluhopisy apod.)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i13.D.2303</w:t>
            </w:r>
          </w:p>
        </w:tc>
        <w:tc>
          <w:tcPr>
            <w:tcW w:w="3000" w:type="dxa"/>
          </w:tcPr>
          <w:p>
            <w:pPr/>
            <w:r>
              <w:rPr/>
              <w:t xml:space="preserve">Tvorba koncepce, strategie a politiky kapitálového a finančního trhu a zásad emisní a kurzové politiky a politiky měnové a devizové</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i13.D.2305</w:t>
            </w:r>
          </w:p>
        </w:tc>
        <w:tc>
          <w:tcPr>
            <w:tcW w:w="3000" w:type="dxa"/>
          </w:tcPr>
          <w:p>
            <w:pPr/>
            <w:r>
              <w:rPr/>
              <w:t xml:space="preserve">Vypracovávání plánu kapitálových obchodů na úseku investičního bankovnictví a prognóz vývoje finančních trhů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i13.D.2431</w:t>
            </w:r>
          </w:p>
        </w:tc>
        <w:tc>
          <w:tcPr>
            <w:tcW w:w="3000" w:type="dxa"/>
          </w:tcPr>
          <w:p>
            <w:pPr/>
            <w:r>
              <w:rPr/>
              <w:t xml:space="preserve">Zpracovávání strategie, politiky a plánu obchodů s cennými papíry na úseku investičního bankovnictví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i13.D.3434</w:t>
            </w:r>
          </w:p>
        </w:tc>
        <w:tc>
          <w:tcPr>
            <w:tcW w:w="3000" w:type="dxa"/>
          </w:tcPr>
          <w:p>
            <w:pPr/>
            <w:r>
              <w:rPr/>
              <w:t xml:space="preserve">Posuzování výsledků analýz finančních trhů a dalších skutečností ovlivňujících situaci na finančních trzích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i13.D.5432</w:t>
            </w:r>
          </w:p>
        </w:tc>
        <w:tc>
          <w:tcPr>
            <w:tcW w:w="3000" w:type="dxa"/>
          </w:tcPr>
          <w:p>
            <w:pPr/>
            <w:r>
              <w:rPr/>
              <w:t xml:space="preserve">Vyhodnocování finančních trhů prostřednictvím technické analýzy a analýzy zisků a ztrát útvaru finančního trhu peněžního ústavu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i13.D.8433</w:t>
            </w:r>
          </w:p>
        </w:tc>
        <w:tc>
          <w:tcPr>
            <w:tcW w:w="3000" w:type="dxa"/>
          </w:tcPr>
          <w:p>
            <w:pPr/>
            <w:r>
              <w:rPr/>
              <w:t xml:space="preserve">Zjišťování a vyhledávání informací o vývoji na finančních a kapitálových trzích v tuzemsku i v zahraničí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i13.D.8434</w:t>
            </w:r>
          </w:p>
        </w:tc>
        <w:tc>
          <w:tcPr>
            <w:tcW w:w="3000" w:type="dxa"/>
          </w:tcPr>
          <w:p>
            <w:pPr/>
            <w:r>
              <w:rPr/>
              <w:t xml:space="preserve">Příprava dat a podkladů pro analýzu k obchodování s cennými papíry včetně aktualizace informací v příslušných databázích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i13.D.8437</w:t>
            </w:r>
          </w:p>
        </w:tc>
        <w:tc>
          <w:tcPr>
            <w:tcW w:w="3000" w:type="dxa"/>
          </w:tcPr>
          <w:p>
            <w:pPr/>
            <w:r>
              <w:rPr/>
              <w:t xml:space="preserve">Sestavování periodických zpráv o vývoji na finančních trzích pro zahraniční i tuzemskou klientelu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i13.D.8450</w:t>
            </w:r>
          </w:p>
        </w:tc>
        <w:tc>
          <w:tcPr>
            <w:tcW w:w="3000" w:type="dxa"/>
          </w:tcPr>
          <w:p>
            <w:pPr/>
            <w:r>
              <w:rPr/>
              <w:t xml:space="preserve">Vedení požadovaných agend a evidencí (dokumentace o finančních operacích a obchodních transakcích na kapitálových trzích apod. )</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i13.D.9431</w:t>
            </w:r>
          </w:p>
        </w:tc>
        <w:tc>
          <w:tcPr>
            <w:tcW w:w="3000" w:type="dxa"/>
          </w:tcPr>
          <w:p>
            <w:pPr/>
            <w:r>
              <w:rPr/>
              <w:t xml:space="preserve">Zpracovávání propagačních materiálů o vývoji na kapitálových trzích, o jeho vlivu na jednotlivé produkty apod.</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i11._.0031</w:t>
            </w:r>
          </w:p>
        </w:tc>
        <w:tc>
          <w:tcPr>
            <w:tcW w:w="3000" w:type="dxa"/>
          </w:tcPr>
          <w:p>
            <w:pPr/>
            <w:r>
              <w:rPr/>
              <w:t xml:space="preserve">bankovnictví obecně a bankovní služby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i11._.0041</w:t>
            </w:r>
          </w:p>
        </w:tc>
        <w:tc>
          <w:tcPr>
            <w:tcW w:w="3000" w:type="dxa"/>
          </w:tcPr>
          <w:p>
            <w:pPr/>
            <w:r>
              <w:rPr/>
              <w:t xml:space="preserve">mezinárodní bankovnictví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i11._.0046</w:t>
            </w:r>
          </w:p>
        </w:tc>
        <w:tc>
          <w:tcPr>
            <w:tcW w:w="3000" w:type="dxa"/>
          </w:tcPr>
          <w:p>
            <w:pPr/>
            <w:r>
              <w:rPr/>
              <w:t xml:space="preserve">investiční bankovnictví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i11._.0032</w:t>
            </w:r>
          </w:p>
        </w:tc>
        <w:tc>
          <w:tcPr>
            <w:tcW w:w="3000" w:type="dxa"/>
          </w:tcPr>
          <w:p>
            <w:pPr/>
            <w:r>
              <w:rPr/>
              <w:t xml:space="preserve">úvěrový obchod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i13._.0044</w:t>
            </w:r>
          </w:p>
        </w:tc>
        <w:tc>
          <w:tcPr>
            <w:tcW w:w="3000" w:type="dxa"/>
          </w:tcPr>
          <w:p>
            <w:pPr/>
            <w:r>
              <w:rPr/>
              <w:t xml:space="preserve">principy obchodování s cennými papíry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i13._.0045</w:t>
            </w:r>
          </w:p>
        </w:tc>
        <w:tc>
          <w:tcPr>
            <w:tcW w:w="3000" w:type="dxa"/>
          </w:tcPr>
          <w:p>
            <w:pPr/>
            <w:r>
              <w:rPr/>
              <w:t xml:space="preserve">kapitálové trhy, makléřská činnost</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i41._.0021</w:t>
            </w:r>
          </w:p>
        </w:tc>
        <w:tc>
          <w:tcPr>
            <w:tcW w:w="3000" w:type="dxa"/>
          </w:tcPr>
          <w:p>
            <w:pPr/>
            <w:r>
              <w:rPr/>
              <w:t xml:space="preserve">komerční právo, smluvně-závazkové vztahy, obchodní společnosti, obchodní zákoník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i41._.0022</w:t>
            </w:r>
          </w:p>
        </w:tc>
        <w:tc>
          <w:tcPr>
            <w:tcW w:w="3000" w:type="dxa"/>
          </w:tcPr>
          <w:p>
            <w:pPr/>
            <w:r>
              <w:rPr/>
              <w:t xml:space="preserve">právo v oblasti finančních a kapitálových trhů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3</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4</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4</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vylučující výkon povolání / specializace povolání.e</w:t>
      </w:r>
      <w:bookmarkEnd w:id="20"/>
    </w:p>
    <w:p>
      <w:pPr>
        <w:numPr>
          <w:ilvl w:val="0"/>
          <w:numId w:val="5"/>
        </w:numPr>
      </w:pPr>
      <w:r>
        <w:rPr/>
        <w:t xml:space="preserve">Závažná orgánová onemocnění podle toxikologických vlastností látek</w:t>
      </w:r>
    </w:p>
    <w:p>
      <w:pPr>
        <w:numPr>
          <w:ilvl w:val="0"/>
          <w:numId w:val="5"/>
        </w:numPr>
      </w:pPr>
      <w:r>
        <w:rPr/>
        <w:t xml:space="preserve">Duševní poruchy</w:t>
      </w:r>
    </w:p>
    <w:p>
      <w:pPr>
        <w:numPr>
          <w:ilvl w:val="0"/>
          <w:numId w:val="5"/>
        </w:numPr>
      </w:pPr>
      <w:r>
        <w:rPr/>
        <w:t xml:space="preserve">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4CE2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Specialista pro obchodní operace na finančních trzích</dc:title>
  <dc:description>Specialista pro obchodní operace na finančních trzích provádí, koordinuje a zajišťuje nákup a prodej cenných papírů, akcií a obligací na domácím a zahraničním finančním trhu, spravuje investiční / devizová aktiva a provádí expertní analýzy a prognózy.</dc:description>
  <dc:subject/>
  <cp:keywords/>
  <cp:category>Povolání</cp:category>
  <cp:lastModifiedBy/>
  <dcterms:created xsi:type="dcterms:W3CDTF">2017-11-22T09:11:52+01:00</dcterms:created>
  <dcterms:modified xsi:type="dcterms:W3CDTF">2024-06-17T14:16:54+02:00</dcterms:modified>
</cp:coreProperties>
</file>

<file path=docProps/custom.xml><?xml version="1.0" encoding="utf-8"?>
<Properties xmlns="http://schemas.openxmlformats.org/officeDocument/2006/custom-properties" xmlns:vt="http://schemas.openxmlformats.org/officeDocument/2006/docPropsVTypes"/>
</file>