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nakládací jeřáby</w:t>
      </w:r>
      <w:bookmarkEnd w:id="1"/>
    </w:p>
    <w:p>
      <w:pPr/>
      <w:r>
        <w:rPr/>
        <w:t xml:space="preserve">Jeřábník pro nakládací jeřáby obsluhuje nakládací jeřáby, řízené z kabiny nebo vyvýšeného místa obsluhy, ze země,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nakládacího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ocelové konstrukce jeřábu, kabiny jeřábu a další ovládací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B2B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nakládací jeřáby</dc:title>
  <dc:description>Jeřábník pro nakládací jeřáby obsluhuje nakládací jeřáby, řízené z kabiny nebo vyvýšeného místa obsluhy, ze země, nebo dálkovým ovládáním.</dc:description>
  <dc:subject/>
  <cp:keywords/>
  <cp:category>Specializace</cp:category>
  <cp:lastModifiedBy/>
  <dcterms:created xsi:type="dcterms:W3CDTF">2017-11-22T09:18:29+01:00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