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IT v sektoru státní správy</w:t>
      </w:r>
      <w:bookmarkEnd w:id="1"/>
    </w:p>
    <w:p>
      <w:pPr/>
      <w:r>
        <w:rPr/>
        <w:t xml:space="preserve"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sektoru státní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organizace v sektoru státní správy, případně její tvorba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Zaštítění procesu formulování požadovaného budoucího stavu, popisu současného stavu a identifikování rozdílu mezi oběma stavy včetně kroků vedoucích k dosažení požadovaného budoucího stavu organizace v sektoru státní správy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poskytovaných službách fyzickým a právnickým osobám v ČR organizacemi sektoru státní správy.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organizacích sektoru státní správy.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v organizacích sektoru státní správy, definice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organizace a získání svolení pro realizaci.</w:t>
      </w:r>
    </w:p>
    <w:p>
      <w:pPr>
        <w:numPr>
          <w:ilvl w:val="0"/>
          <w:numId w:val="5"/>
        </w:numPr>
      </w:pPr>
      <w:r>
        <w:rPr/>
        <w:t xml:space="preserve">Návrh vhodného metodického rámce - PeaF, TOGAF, Zachman a další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organizaci sektoru státní správy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Definice Metamodel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- mechanismy pro snižování rizik, pravidla a standardy v organizaci sektoru státní správy (governance) prostřednictvím řešení architektury IT.</w:t>
      </w:r>
    </w:p>
    <w:p>
      <w:pPr>
        <w:numPr>
          <w:ilvl w:val="0"/>
          <w:numId w:val="5"/>
        </w:numPr>
      </w:pPr>
      <w:r>
        <w:rPr/>
        <w:t xml:space="preserve">Tvorba plánů implementace governance podnikové architektury, gap analýzy a nastavení kroků k dosažení cílového stavu, průběžná konzultace při implementaci governance podnikové architektury v rámci organizace sektoru státní správy.</w:t>
      </w:r>
    </w:p>
    <w:p>
      <w:pPr>
        <w:numPr>
          <w:ilvl w:val="0"/>
          <w:numId w:val="5"/>
        </w:numPr>
      </w:pPr>
      <w:r>
        <w:rPr/>
        <w:t xml:space="preserve">Podíl na pravidelném plánování v souladu s cíli v organizace sektoru státní správy a na aktualizaci strategického směřování v souladu s legislativou ČR, EU s dopadem na architekturu IT.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posláním organizace sektoru státní správy.</w:t>
      </w:r>
    </w:p>
    <w:p>
      <w:pPr>
        <w:numPr>
          <w:ilvl w:val="0"/>
          <w:numId w:val="5"/>
        </w:numPr>
      </w:pPr>
      <w:r>
        <w:rPr/>
        <w:t xml:space="preserve">Průběžná analýza a vyhodnocení informace v Modelu organizace a jeho údržba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projektů, které přímo vedou k naplnění poslání organizace a k cílovému stavu Modelu podnikové architektury, dohled nad jejich realizaci a vyhodnocení jejich přínosů.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 politiky a strategie rozsáhlé soustavy informačních systémů, například rezortu, ozbrojených sil, bezpečnostních sborů nebo hlavního města Prahy, tj. vytváření dlouhodobé strategie informačních potřeb rezortu a jeho informační a komunikační infrastruktury, koordinace vývoje, provozu, inovací a údržby soustavy informačních a komunikačních systémů a zajišťování její harmonizace s celostátní informační politikou a dalšími mezinárodními požadavky.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a standardech týkajících se IT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státní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projektů ve státním sektor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organizačním členění příslušné organizace státní správy a podřízených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 státním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B81E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IT v sektoru státní správy</dc:title>
  <dc:description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
</dc:description>
  <dc:subject/>
  <cp:keywords/>
  <cp:category>Specializace</cp:category>
  <cp:lastModifiedBy/>
  <dcterms:created xsi:type="dcterms:W3CDTF">2017-11-22T09:08:18+01:00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