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998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2024-02-27T16:26:59+01:00</dcterms:modified>
</cp:coreProperties>
</file>

<file path=docProps/custom.xml><?xml version="1.0" encoding="utf-8"?>
<Properties xmlns="http://schemas.openxmlformats.org/officeDocument/2006/custom-properties" xmlns:vt="http://schemas.openxmlformats.org/officeDocument/2006/docPropsVTypes"/>
</file>