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služby pořádkové policie</w:t>
      </w:r>
      <w:bookmarkEnd w:id="1"/>
    </w:p>
    <w:p>
      <w:pPr/>
      <w:r>
        <w:rPr/>
        <w:t xml:space="preserve">Vrchní komisař služby pořádkové policie tvůrčím způsobem řeší náročné a složité analytické, metodické a koncepční úkoly a usměrňuje výkon policejní činnosti v rámci služby pořádkové policie v Policejním prezidiu České republiky nebo útvarech s působností na celém území České republiky nebo útvarech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služby pořádkové policie, Příslušník služby pořádkové policie -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dopravních inspektorátů, obvodních a místních oddělení policie a dalších útvarů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předpisů, pokynů a instrukcí pro výkon služby a jejich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řízení a rozhodování v útvarech s vymezenou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C89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služby pořádkové policie</dc:title>
  <dc:description>Vrchní komisař služby pořádkové policie tvůrčím způsobem řeší náročné a složité analytické, metodické a koncepční úkoly a usměrňuje výkon policejní činnosti v rámci služby pořádkové policie v Policejním prezidiu České republiky nebo útvarech s působností na celém území České republiky nebo útvarech s územně vymezenou působností vyššího stupně.</dc:description>
  <dc:subject/>
  <cp:keywords/>
  <cp:category>Specializace</cp:category>
  <cp:lastModifiedBy/>
  <dcterms:created xsi:type="dcterms:W3CDTF">2017-11-22T09:21:52+01:00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