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kriminalistický expert</w:t>
      </w:r>
      <w:bookmarkEnd w:id="1"/>
    </w:p>
    <w:p>
      <w:pPr/>
      <w:r>
        <w:rPr/>
        <w:t xml:space="preserve">Vrchní komisař - kriminalistický expert vykonává vysoce specializované odborné kriminalisticko-technické, expertizní a znalecké činnosti v útvarech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expert  - vrchní komisař, Forenzní expert – vrchní komisař, Policista – vrchní komisař – kriminalistický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 ze zajištěných stop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9CDE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kriminalistický expert</dc:title>
  <dc:description>Vrchní komisař - kriminalistický expert vykonává vysoce specializované odborné kriminalisticko-technické, expertizní a znalecké činnosti v útvarech policie.</dc:description>
  <dc:subject/>
  <cp:keywords/>
  <cp:category>Specializace</cp:category>
  <cp:lastModifiedBy/>
  <dcterms:created xsi:type="dcterms:W3CDTF">2017-11-22T09:21:23+01:00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