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kriminalistický technik</w:t>
      </w:r>
      <w:bookmarkEnd w:id="1"/>
    </w:p>
    <w:p>
      <w:pPr/>
      <w:r>
        <w:rPr/>
        <w:t xml:space="preserve">Komisař - kriminalistický technik vykonává specializované odborné kriminalisticko-technické, expertizní a znalecké činnosti v rámci policejního prezídia nebo v útvarech policie s působností na celém území České republiky nebo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Kriminalistický technik – komisař, Policista - komisař kriminalistický technik, Příslušník – komisař kriminalistický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B6C5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kriminalistický technik</dc:title>
  <dc:description>Komisař - kriminalistický technik vykonává specializované odborné kriminalisticko-technické, expertizní a znalecké činnosti v rámci policejního prezídia nebo v útvarech policie s působností na celém území České republiky nebo útvarech policie s územně vymezenou působností vyššího stupně.</dc:description>
  <dc:subject/>
  <cp:keywords/>
  <cp:category>Specializace</cp:category>
  <cp:lastModifiedBy/>
  <dcterms:created xsi:type="dcterms:W3CDTF">2017-11-22T09:08:11+01:00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