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bižuterie</w:t>
      </w:r>
      <w:bookmarkEnd w:id="1"/>
    </w:p>
    <w:p>
      <w:pPr/>
      <w:r>
        <w:rPr/>
        <w:t xml:space="preserve">Výrobce bižuterie provádí odborné práce ve výrobě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zařízení a strojů na zušlechťování polotovarů a výrobků.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skleněných výrobků, kovodílů a sklodoplňků ve výrobě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bižuterie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1" w:name="_Toc11"/>
      <w:r>
        <w:t>Digitální kompetence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79F4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bižuterie</dc:title>
  <dc:description>Výrobce bižuterie provádí odborné práce ve výrobě bižuterie.</dc:description>
  <dc:subject/>
  <cp:keywords/>
  <cp:category>Povolání</cp:category>
  <cp:lastModifiedBy/>
  <dcterms:created xsi:type="dcterms:W3CDTF">2017-11-22T09:42:03+01:00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