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odpadového hospodářství</w:t>
      </w:r>
      <w:bookmarkEnd w:id="1"/>
    </w:p>
    <w:p>
      <w:pPr/>
      <w:r>
        <w:rPr/>
        <w:t xml:space="preserve">Samostatný inspektor odpadového hospodářství zabezpečuje úkoly státního dozoru v oblasti hospodaření a využití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hospodaření s odpady.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Zjišťování nedostatku, škod a jejich příčiny včetně osob zodpovědných za jejich vznik nebo trvání.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Koordinace postupu 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Vedení databáze původců odpadů.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odpadového hospodářství v rámci kraje a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 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a směrnic pro odbornou činnost oblastních inspektorátů, zabezpečujících úkoly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havárií v odpadovém hospodářství, které by mohly ohrozit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zdrojů znečišťování jednotlivých složek životního prostředí, v rámci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škod vzniklých v důsledku nesprávného hospodaření s odpady, jejich příčin a míry zavinění osob zodpovědných za jejich vznik nebo trvání, v rámci výkonu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původců odpadů, v rámci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i21.D.8494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 a průmyslových technologií na oblast hospodaření s odpady,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odpadového hospodářství krajů a hlavního města Prahy, v rámci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řešení závažných ekologických havárií v oblasti odpadového hospodářství s orgány státní správy a orgány činnými v trestním řízení,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A38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odpadového hospodářství</dc:title>
  <dc:description>Samostatný inspektor odpadového hospodářství zabezpečuje úkoly státního dozoru v oblasti hospodaření a využití odpadů.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