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zdravotní sestra ozbrojených sil ČR</w:t>
      </w:r>
      <w:bookmarkEnd w:id="1"/>
    </w:p>
    <w:p>
      <w:pPr/>
      <w:r>
        <w:rPr/>
        <w:t xml:space="preserve">Hlavní zdravotní sestra ozbrojených sil ČR stanovuje strategie a koncepce ošetřovatelské péče a koncepce celoživotního vzdělávání vojenských nelékařských zdravotnických pracovníků Armády České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sestra, Major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standardů a metod zdravotně-sociální péče ve zdravotnických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zařízení (nemocnic, zdravotních ústavů a léčeben)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ošetřovatelské činnosti v rámci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poskytování, organizace a metodické řízení ošetřovatelské péče včetně vysoce specializované ošetřovatelské péče, v oblasti neodkladné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Poskytování, organizování a metodické řízení ošetřovatelské péče včetně vysoce specializované ošetřovatelské péče dle příslušné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20E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zdravotní sestra ozbrojených sil ČR</dc:title>
  <dc:description>Hlavní zdravotní sestra ozbrojených sil ČR stanovuje strategie a koncepce ošetřovatelské péče a koncepce celoživotního vzdělávání vojenských nelékařských zdravotnických pracovníků Armády České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2017-11-22T09:39:29+01:00</dcterms:created>
  <dcterms:modified xsi:type="dcterms:W3CDTF">2017-11-22T09:39:29+01:00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