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projektant</w:t>
      </w:r>
      <w:bookmarkEnd w:id="1"/>
    </w:p>
    <w:p>
      <w:pPr/>
      <w:r>
        <w:rPr/>
        <w:t xml:space="preserve"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Konstruktér, Návrhář ve stavebnictví, Stavební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Zpracování koncepčních a projektových dokumentací.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staveb, stavebních celků a technologických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Posuzování stavebních projektů a plánů jiných autorů, stavební poradenství.</w:t>
      </w:r>
    </w:p>
    <w:p>
      <w:pPr>
        <w:numPr>
          <w:ilvl w:val="0"/>
          <w:numId w:val="5"/>
        </w:numPr>
      </w:pPr>
      <w:r>
        <w:rPr/>
        <w:t xml:space="preserve">Organizování a řízení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 tvůrčích technických specialistů, spolupráce se stavbyvedoucími při řešení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geodetických zaměření a výsledků geologických a hydrologických průzkumů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 rámci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F228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projektant</dc:title>
  <dc:description>Stavební inženýr projektant vypracovává projekty nebo vykonává projektové práce a komplexně zajišťuje, řídí a organizuje úkoly v oblasti předprojektové a projektové přípravy staveb, stavebních celků a technologických zařízení a dalších systémů nebo procesů ve stavební výrobě.</dc:description>
  <dc:subject/>
  <cp:keywords/>
  <cp:category>Povolání</cp:category>
  <cp:lastModifiedBy/>
  <dcterms:created xsi:type="dcterms:W3CDTF">2017-11-22T09:39:20+01:00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