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Rostlinolékařský inspektor specialista</w:t>
      </w:r>
      <w:bookmarkEnd w:id="1"/>
    </w:p>
    <w:p>
      <w:pPr/>
      <w:r>
        <w:rPr/>
        <w:t xml:space="preserve">Rostlinolékařský inspektor specialista provádí rostlinolékařský dozor a podílí se na stanovení zásad a metodických postupů výkonu inspekční a dozorové činnosti v oboru rostlinolékařské péče.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Povolání vyřazená z kategorického třídění pro svoji neaktuálnost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státní správa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Specialista rostlinolékařské správy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Rostlinolékařský inspektor specialista, Inspektor mechanizačních prostředků specialista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ne</w:t>
            </w:r>
          </w:p>
        </w:tc>
      </w:tr>
    </w:tbl>
    <w:p/>
    <w:p>
      <w:pPr>
        <w:pStyle w:val="Heading2"/>
      </w:pPr>
      <w:bookmarkStart w:id="2" w:name="_Toc2"/>
      <w:r>
        <w:t>Pracovní činnosti</w:t>
      </w:r>
      <w:bookmarkEnd w:id="2"/>
    </w:p>
    <w:p>
      <w:pPr>
        <w:numPr>
          <w:ilvl w:val="0"/>
          <w:numId w:val="5"/>
        </w:numPr>
      </w:pPr>
      <w:r>
        <w:rPr/>
        <w:t xml:space="preserve">Zpracování koncepcí,  metodiky a standardizace metod v oblasti rostlinolékařské péče.</w:t>
      </w:r>
    </w:p>
    <w:p>
      <w:pPr>
        <w:numPr>
          <w:ilvl w:val="0"/>
          <w:numId w:val="5"/>
        </w:numPr>
      </w:pPr>
      <w:r>
        <w:rPr/>
        <w:t xml:space="preserve">Monitoring, průzkum a prognóza výskytu škodlivých organizmů.</w:t>
      </w:r>
    </w:p>
    <w:p>
      <w:pPr>
        <w:numPr>
          <w:ilvl w:val="0"/>
          <w:numId w:val="5"/>
        </w:numPr>
      </w:pPr>
      <w:r>
        <w:rPr/>
        <w:t xml:space="preserve">Provádění přesné detekce a determinace původců chorob, poruch a škůdců rostlin a plevelů.</w:t>
      </w:r>
    </w:p>
    <w:p>
      <w:pPr>
        <w:numPr>
          <w:ilvl w:val="0"/>
          <w:numId w:val="5"/>
        </w:numPr>
      </w:pPr>
      <w:r>
        <w:rPr/>
        <w:t xml:space="preserve">Vypracování prognóz výskytu závažných škodlivých organismů a podkladů pro signalizaci cíleného ošetření rostlin.</w:t>
      </w:r>
    </w:p>
    <w:p>
      <w:pPr>
        <w:numPr>
          <w:ilvl w:val="0"/>
          <w:numId w:val="5"/>
        </w:numPr>
      </w:pPr>
      <w:r>
        <w:rPr/>
        <w:t xml:space="preserve">Rostlinolékařská kontrola rostlin, rostlinných produktů uváděných na trh, kontrola dováženého prováženého a vyváženého zboží rostlinného původu a vydávání rostlinolékařského osvědčení.</w:t>
      </w:r>
    </w:p>
    <w:p>
      <w:pPr>
        <w:numPr>
          <w:ilvl w:val="0"/>
          <w:numId w:val="5"/>
        </w:numPr>
      </w:pPr>
      <w:r>
        <w:rPr/>
        <w:t xml:space="preserve">Stanovení účinných preventivních a přímých opatření k regulaci škodlivých organismů, opatření proti zavlékání, rozšiřování a k potlačování určitých škodlivých organizmů.</w:t>
      </w:r>
    </w:p>
    <w:p>
      <w:pPr>
        <w:numPr>
          <w:ilvl w:val="0"/>
          <w:numId w:val="5"/>
        </w:numPr>
      </w:pPr>
      <w:r>
        <w:rPr/>
        <w:t xml:space="preserve">Provádění rostlinolékařského dozoru.</w:t>
      </w:r>
    </w:p>
    <w:p>
      <w:pPr>
        <w:numPr>
          <w:ilvl w:val="0"/>
          <w:numId w:val="5"/>
        </w:numPr>
      </w:pPr>
      <w:r>
        <w:rPr/>
        <w:t xml:space="preserve">Řízení a provádění ošetřování rostlin a rostlinných produktů, půdy, objektů nebo jiných předmětů proti škodlivým organismům.</w:t>
      </w:r>
    </w:p>
    <w:p>
      <w:pPr>
        <w:numPr>
          <w:ilvl w:val="0"/>
          <w:numId w:val="5"/>
        </w:numPr>
      </w:pPr>
      <w:r>
        <w:rPr/>
        <w:t xml:space="preserve">Odborné poradenství a zkušebnictví v ochraně rostlin.</w:t>
      </w:r>
    </w:p>
    <w:p>
      <w:pPr>
        <w:numPr>
          <w:ilvl w:val="0"/>
          <w:numId w:val="5"/>
        </w:numPr>
      </w:pPr>
      <w:r>
        <w:rPr/>
        <w:t xml:space="preserve">Uplatňování výsledků výzkumu v oblasti rostlinolékařské péče.</w:t>
      </w:r>
    </w:p>
    <w:p>
      <w:pPr>
        <w:numPr>
          <w:ilvl w:val="0"/>
          <w:numId w:val="5"/>
        </w:numPr>
      </w:pPr>
      <w:r>
        <w:rPr/>
        <w:t xml:space="preserve">Vedení příslušné dokumentace.</w:t>
      </w:r>
    </w:p>
    <w:p/>
    <w:p>
      <w:pPr>
        <w:pStyle w:val="Heading2"/>
      </w:pPr>
      <w:bookmarkStart w:id="3" w:name="_Toc3"/>
      <w:r>
        <w:t>CZ-ISCO</w:t>
      </w:r>
      <w:bookmarkEnd w:id="3"/>
    </w:p>
    <w:p>
      <w:pPr>
        <w:numPr>
          <w:ilvl w:val="0"/>
          <w:numId w:val="5"/>
        </w:numPr>
      </w:pPr>
      <w:r>
        <w:rPr/>
        <w:t xml:space="preserve">Specialisté v oblasti agronomie</w:t>
      </w:r>
    </w:p>
    <w:p>
      <w:pPr>
        <w:numPr>
          <w:ilvl w:val="0"/>
          <w:numId w:val="5"/>
        </w:numPr>
      </w:pPr>
      <w:r>
        <w:rPr/>
        <w:t xml:space="preserve">Specialisté v oblasti zemědělství, lesnictví, rybářství a vodního hospodářství</w:t>
      </w:r>
    </w:p>
    <w:p/>
    <w:p>
      <w:pPr>
        <w:pStyle w:val="Heading3"/>
      </w:pPr>
      <w:bookmarkStart w:id="4" w:name="_Toc4"/>
      <w:r>
        <w:t>Hrubé měsíční mzdy podle krajů v roce 2020</w:t>
      </w:r>
      <w:bookmarkEnd w:id="4"/>
    </w:p>
    <w:p>
      <w:pPr>
        <w:pStyle w:val="Heading4"/>
      </w:pPr>
      <w:bookmarkStart w:id="5" w:name="_Toc5"/>
      <w:r>
        <w:t>Specialisté v oblasti zemědělství, lesnictví, rybářství a vodního hospodářství (CZ-ISCO 2132)</w:t>
      </w:r>
      <w:bookmarkEnd w:id="5"/>
    </w:p>
    <w:tbl>
      <w:tblGrid>
        <w:gridCol w:w="2400" w:type="dxa"/>
        <w:gridCol w:w="1100" w:type="dxa"/>
        <w:gridCol w:w="1100" w:type="dxa"/>
        <w:gridCol w:w="1100" w:type="dxa"/>
        <w:gridCol w:w="1100" w:type="dxa"/>
        <w:gridCol w:w="1100" w:type="dxa"/>
        <w:gridCol w:w="11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400" w:type="dxa"/>
          </w:tcPr>
          <w:p/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300" w:type="dxa"/>
            <w:gridSpan w:val="3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2400" w:type="dxa"/>
          </w:tcPr>
          <w:p>
            <w:pPr/>
            <w:r>
              <w:rPr>
                <w:b w:val="1"/>
                <w:bCs w:val="1"/>
              </w:rPr>
              <w:t xml:space="preserve">Kraj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Od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</w:t>
            </w:r>
          </w:p>
        </w:tc>
        <w:tc>
          <w:tcPr>
            <w:tcW w:w="11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Do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Hlavní město Praha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35 306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44 523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59 888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Středočeský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20 036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43 053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54 770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38 769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47 061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Jihočeský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33 619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40 929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48 649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Plzeňský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33 798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38 871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47 437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Karlovarský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44 899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52 913 Kč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Ústecký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37 533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44 845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55 455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29 943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40 437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48 092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Liberecký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39 326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44 797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53 163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30 980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46 563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Královéhradecký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32 731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39 658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48 162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Pardubický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31 250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40 614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47 502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Kraj Vysočina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32 322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44 975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51 635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32 796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40 636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47 656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Jihomoravský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45 938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60 378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32 723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39 189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47 261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Olomoucký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33 464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46 510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56 547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33 727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41 248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47 305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Zlínský kraj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34 259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44 443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52 249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30 829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36 951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45 462 Kč</w:t>
            </w:r>
          </w:p>
        </w:tc>
      </w:tr>
      <w:tr>
        <w:trPr/>
        <w:tc>
          <w:tcPr>
            <w:tcW w:w="2000" w:type="dxa"/>
          </w:tcPr>
          <w:p>
            <w:pPr/>
            <w:r>
              <w:rPr/>
              <w:t xml:space="preserve">Moravskoslezský kraj</w:t>
            </w:r>
          </w:p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/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32 939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39 490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47 577 Kč</w:t>
            </w:r>
          </w:p>
        </w:tc>
      </w:tr>
    </w:tbl>
    <w:p/>
    <w:p>
      <w:pPr>
        <w:pStyle w:val="Heading3"/>
      </w:pPr>
      <w:bookmarkStart w:id="6" w:name="_Toc6"/>
      <w:r>
        <w:t>Hrubé měsíční mzdy v roce 2020 celkem</w:t>
      </w:r>
      <w:bookmarkEnd w:id="6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zemědělství, lesnictví, rybářství a vodního hospodářství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40 426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42 796 Kč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21321</w:t>
            </w:r>
          </w:p>
        </w:tc>
        <w:tc>
          <w:tcPr>
            <w:tcW w:w="2000" w:type="dxa"/>
          </w:tcPr>
          <w:p>
            <w:pPr/>
            <w:r>
              <w:rPr/>
              <w:t xml:space="preserve">Specialisté v oblasti agronomie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43 093 Kč</w:t>
            </w:r>
          </w:p>
        </w:tc>
      </w:tr>
    </w:tbl>
    <w:p/>
    <w:p>
      <w:pPr>
        <w:pStyle w:val="Heading2"/>
      </w:pPr>
      <w:bookmarkStart w:id="7" w:name="_Toc7"/>
      <w:r>
        <w:t>Příklady činností</w:t>
      </w:r>
      <w:bookmarkEnd w:id="7"/>
    </w:p>
    <w:tbl>
      <w:tblGrid>
        <w:gridCol w:w="7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7000" w:type="dxa"/>
          </w:tcPr>
          <w:p>
            <w:pPr/>
            <w:r>
              <w:rPr>
                <w:b w:val="1"/>
                <w:bCs w:val="1"/>
              </w:rPr>
              <w:t xml:space="preserve">Příklady činností ze veřejného sektoru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třída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Celostátní koordinace a stanovování metodických postupů a zásad výkonu inspekční a dozorové činnosti v oboru rostlinolékařské péče.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Výkon složitých systémových postupů fytosanitární kontroly v návaznosti na mimořádná rostlinolékařská opatření širšího rozsahu.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Vykonávání státní inspekce nebo dozoru nad dodržováním zásad správné výrobní a správné laboratorní praxe v oblasti potravin, potravinových surovin a výrobků.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  <w:tr>
        <w:trPr/>
        <w:tc>
          <w:tcPr>
            <w:tcW w:w="7000" w:type="dxa"/>
          </w:tcPr>
          <w:p>
            <w:pPr/>
            <w:r>
              <w:rPr/>
              <w:t xml:space="preserve">Zpracování dílčích koncepcí jednotlivých oblastí rostlinolékařské správy.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0</w:t>
            </w:r>
          </w:p>
        </w:tc>
      </w:tr>
    </w:tbl>
    <w:p/>
    <w:p>
      <w:pPr>
        <w:pStyle w:val="Heading2"/>
      </w:pPr>
      <w:bookmarkStart w:id="8" w:name="_Toc8"/>
      <w:r>
        <w:t>Pracovní podmínky</w:t>
      </w:r>
      <w:bookmarkEnd w:id="8"/>
    </w:p>
    <w:tbl>
      <w:tblGrid>
        <w:gridCol w:w="5000" w:type="dxa"/>
        <w:gridCol w:w="1000" w:type="dxa"/>
        <w:gridCol w:w="1000" w:type="dxa"/>
        <w:gridCol w:w="1000" w:type="dxa"/>
        <w:gridCol w:w="1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1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2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3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4</w:t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Duševní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jemné motoriky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omezeném nebo uzavřeném prostoru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prací v nevhodných pracovních polohách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Práce ve výškách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úrazu pracovníka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Zvýšené riziko obecného ohrožení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Pracovní doba, směnnost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teplem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chladem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hlukem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vibracemi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prachem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chemickými látkami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invazivními alergeny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biologickými činiteli způsobujícími onemocnění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ionizujícím zářením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neionizujícím zářením a elektromagnetickým polem včetně laserů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Zraková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Celková fyzická zátěž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Zátěž trupu a páteře s převahou statické práce (manipulace s břemeny)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  <w:tr>
        <w:trPr/>
        <w:tc>
          <w:tcPr>
            <w:tcW w:w="5000" w:type="dxa"/>
          </w:tcPr>
          <w:p>
            <w:pPr/>
            <w:r>
              <w:rPr/>
              <w:t xml:space="preserve">Lokální zátěž - zátěž malých svalových skupin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x</w:t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  <w:tc>
          <w:tcPr>
            <w:tcW w:w="1000" w:type="dxa"/>
          </w:tcPr>
          <w:p>
            <w:pPr/>
            <w:r>
              <w:rPr/>
              <w:t xml:space="preserve"/>
            </w:r>
          </w:p>
        </w:tc>
      </w:tr>
    </w:tbl>
    <w:p/>
    <w:p>
      <w:pPr/>
      <w:r>
        <w:rPr>
          <w:sz w:val="16"/>
          <w:szCs w:val="16"/>
          <w:i w:val="1"/>
          <w:iCs w:val="1"/>
        </w:rPr>
        <w:t xml:space="preserve">Legenda: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1. Stupeň zátěže (minimální zdravotní riziko) - Faktor se při výkonu práce nevyskytuje nebo je zátěž faktorem minimální, vliv faktoru je ze zdravotního hlediska nevýznamný.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2. Stupeň zátěže (únosná míra zdravotního rizika) - Ze zdravotního hlediska je míra zátěže faktorem únosná, nepřekračuje limity stanovené předpisy, vliv faktoru je akceptovatelný pro zdravého člověka.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3. Stupeň zátěže (významná míra zdravotního rizika) - Úroveň zátěže překračuje stanovené limitní hodnoty expozice (zátěže), na pracovištích je nutná realizace náhradních technických a organizačních opatření, nelze vyloučit negativní vliv na zdraví pracovníků.</w:t>
      </w:r>
    </w:p>
    <w:p>
      <w:pPr>
        <w:numPr>
          <w:ilvl w:val="0"/>
          <w:numId w:val="5"/>
        </w:numPr>
      </w:pPr>
      <w:r>
        <w:rPr>
          <w:sz w:val="16"/>
          <w:szCs w:val="16"/>
          <w:i w:val="1"/>
          <w:iCs w:val="1"/>
        </w:rPr>
        <w:t xml:space="preserve">4. Stupeň zátěže (vysoká míra zdravotního rizika) - Úroveň zátěže vysoce překračuje stanovené limitní hodnoty expozice, na pracovištích musí být dodržován soubor preventivních opatření, častěji dochází k poškození zdraví.</w:t>
      </w:r>
    </w:p>
    <w:p/>
    <w:p/>
    <w:p>
      <w:pPr>
        <w:pStyle w:val="Heading2"/>
      </w:pPr>
      <w:bookmarkStart w:id="9" w:name="_Toc9"/>
      <w:r>
        <w:t>Kvalifikace k výkonu povolání</w:t>
      </w:r>
      <w:bookmarkEnd w:id="9"/>
    </w:p>
    <w:p>
      <w:pPr>
        <w:pStyle w:val="Heading3"/>
      </w:pPr>
      <w:bookmarkStart w:id="10" w:name="_Toc10"/>
      <w:r>
        <w:t>Školní vzdělání</w:t>
      </w:r>
      <w:bookmarkEnd w:id="10"/>
    </w:p>
    <w:p/>
    <w:p>
      <w:pPr>
        <w:pStyle w:val="Heading4"/>
      </w:pPr>
      <w:bookmarkStart w:id="11" w:name="_Toc11"/>
      <w:r>
        <w:t>Nejvhodnější školní přípravu poskytují obory:</w:t>
      </w:r>
      <w:bookmarkEnd w:id="11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zemědělská specializace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4106T</w:t>
            </w:r>
          </w:p>
        </w:tc>
      </w:tr>
    </w:tbl>
    <w:p/>
    <w:p>
      <w:pPr>
        <w:pStyle w:val="Heading4"/>
      </w:pPr>
      <w:bookmarkStart w:id="12" w:name="_Toc12"/>
      <w:r>
        <w:t>Vhodnou školní přípravu poskytují také obory:</w:t>
      </w:r>
      <w:bookmarkEnd w:id="12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botanika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1507T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 oboru zemědělské inženýrství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4101T</w:t>
            </w:r>
          </w:p>
        </w:tc>
      </w:tr>
    </w:tbl>
    <w:p/>
    <w:p>
      <w:pPr>
        <w:pStyle w:val="Heading2"/>
      </w:pPr>
      <w:bookmarkStart w:id="13" w:name="_Toc13"/>
      <w:r>
        <w:t>Kompetenční požadavky</w:t>
      </w:r>
      <w:bookmarkEnd w:id="13"/>
    </w:p>
    <w:p>
      <w:pPr>
        <w:pStyle w:val="Heading3"/>
      </w:pPr>
      <w:bookmarkStart w:id="14" w:name="_Toc14"/>
      <w:r>
        <w:t>Odborné dovednosti</w:t>
      </w:r>
      <w:bookmarkEnd w:id="14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preventivních a přímých opatření k regulaci a k potlačování škůdců rostlin, v rámci provádění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i21.D.2392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dílčích koncepcí jednotlivých oblastí výkonu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i21.D.2393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a standardizace metod v oblasti rostlinolékařské péče a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i21.D.3391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rostlinolékařské kontroly rostlin a rostlinných produktů uváděných na trh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i21.D.3392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 dováženého, prováženého a vyváženého zboží rostlinného původu, v rámci rostlinolékařského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i21.D.3393</w:t>
            </w:r>
          </w:p>
        </w:tc>
        <w:tc>
          <w:tcPr>
            <w:tcW w:w="3000" w:type="dxa"/>
          </w:tcPr>
          <w:p>
            <w:pPr/>
            <w:r>
              <w:rPr/>
              <w:t xml:space="preserve">Vykonávání složitých systémových postupů fytosanitární kontroly, v návaznosti na mimořádná rostlinolékařská opatření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i21.D.3394</w:t>
            </w:r>
          </w:p>
        </w:tc>
        <w:tc>
          <w:tcPr>
            <w:tcW w:w="3000" w:type="dxa"/>
          </w:tcPr>
          <w:p>
            <w:pPr/>
            <w:r>
              <w:rPr/>
              <w:t xml:space="preserve">Provádění kontrol, státní inspekce nebo dozoru nad dodržování zásad správné výrobní a laboratorní praxe v oblasti potravinových surovin a potravin, v rámci výkonu rostlinolékařského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i21.D.8391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dokumentace o provádění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i21.D.9391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prognóz výskytu závažných škodlivých organismů a podkladů pro signalizaci cíleného ošetření rostlin, v rámci provádění rostlinolékařského dozoru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i21.C.2391</w:t>
            </w:r>
          </w:p>
        </w:tc>
        <w:tc>
          <w:tcPr>
            <w:tcW w:w="3000" w:type="dxa"/>
          </w:tcPr>
          <w:p>
            <w:pPr/>
            <w:r>
              <w:rPr/>
              <w:t xml:space="preserve">Vyřizování agendy vydávání rostlinolékařských osvědčení na základě provedených inspekcí a dozoru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i21.Z.2392</w:t>
            </w:r>
          </w:p>
        </w:tc>
        <w:tc>
          <w:tcPr>
            <w:tcW w:w="3000" w:type="dxa"/>
          </w:tcPr>
          <w:p>
            <w:pPr/>
            <w:r>
              <w:rPr/>
              <w:t xml:space="preserve">Celostátní koordinování metodických postupů a zásad výkonu inspekční a dozorové činnosti v oboru rostlinolékařské péče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5" w:name="_Toc15"/>
      <w:r>
        <w:t>Odborné znalosti</w:t>
      </w:r>
      <w:bookmarkEnd w:id="15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i21._.0039</w:t>
            </w:r>
          </w:p>
        </w:tc>
        <w:tc>
          <w:tcPr>
            <w:tcW w:w="3000" w:type="dxa"/>
          </w:tcPr>
          <w:p>
            <w:pPr/>
            <w:r>
              <w:rPr/>
              <w:t xml:space="preserve">státní správa činnost a dozor v oblasti rostlinolékařské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6" w:name="_Toc16"/>
      <w:r>
        <w:t>Zdravotní podmínky</w:t>
      </w:r>
      <w:bookmarkEnd w:id="16"/>
    </w:p>
    <w:p>
      <w:pPr>
        <w:pStyle w:val="Heading3"/>
      </w:pPr>
      <w:bookmarkStart w:id="17" w:name="_Toc17"/>
      <w:r>
        <w:t>Onemocnění omezující výkon povolání / specializace povolání.</w:t>
      </w:r>
      <w:bookmarkEnd w:id="17"/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pStyle w:val="Heading3"/>
      </w:pPr>
      <w:bookmarkStart w:id="18" w:name="_Toc18"/>
      <w:r>
        <w:t>Onemocnění vylučující výkon povolání / specializace povolání.e</w:t>
      </w:r>
      <w:bookmarkEnd w:id="18"/>
    </w:p>
    <w:p>
      <w:pPr>
        <w:numPr>
          <w:ilvl w:val="0"/>
          <w:numId w:val="5"/>
        </w:numPr>
      </w:pPr>
      <w:r>
        <w:rPr/>
        <w:t xml:space="preserve">Závažné duševní poruchy, těžké poruchy chování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42AA8D7A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Rostlinolékařský inspektor specialista</dc:title>
  <dc:description>Rostlinolékařský inspektor specialista provádí rostlinolékařský dozor a podílí se na stanovení zásad a metodických postupů výkonu inspekční a dozorové činnosti v oboru rostlinolékařské péče.</dc:description>
  <dc:subject/>
  <cp:keywords/>
  <cp:category>Specializace</cp:category>
  <cp:lastModifiedBy/>
  <dcterms:created xsi:type="dcterms:W3CDTF">2017-11-22T09:09:07+01:00</dcterms:created>
  <dcterms:modified xsi:type="dcterms:W3CDTF">2017-11-22T09:42:42+01:00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