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ADR</w:t>
      </w:r>
      <w:bookmarkEnd w:id="1"/>
    </w:p>
    <w:p>
      <w:pPr/>
      <w:r>
        <w:rPr/>
        <w:t xml:space="preserve"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předpisů ADR dle požadavků Směrnice Evropského parlamentu a Rady 2008/68/ES, o pozemní přepravě nebezpečných věcí - Přílohy A a B.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BB4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ADR</dc:title>
  <dc:description>Zkušební technik přepravních nádob na plyny dle předpisů ADR provádí v průběhu výroby sudů, cisteren a nádržkových kontejnerů určených k pozemní přepravě nebezpečných věcí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