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a daňového řízení</w:t>
      </w:r>
      <w:bookmarkEnd w:id="1"/>
    </w:p>
    <w:p>
      <w:pPr/>
      <w:r>
        <w:rPr/>
        <w:t xml:space="preserve">Pracovník celního a daňového řízení rozhoduje v celním řízení o propouštění zboží do celních režimů, provádí kontrolu pohybu zboží a osob v celním prostoru.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veterinárních a rostlinolékařských předpisů na hraničních přechodech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daňových nedoplatků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CAA6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a daňového řízení</dc:title>
  <dc:description>Pracovník celního a daňového řízení rozhoduje v celním řízení o propouštění zboží do celních režimů, provádí kontrolu pohybu zboží a osob v celním prostoru.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2017-11-22T09:37:10+01:00</dcterms:created>
  <dcterms:modified xsi:type="dcterms:W3CDTF">2017-11-22T09:37:10+01:00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