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Chemický technik BOZP</w:t>
      </w:r>
      <w:bookmarkEnd w:id="1"/>
    </w:p>
    <w:p>
      <w:pPr/>
      <w:r>
        <w:rPr/>
        <w:t xml:space="preserve">Chemický technik BOZP komplexně zajišťuje, metodicky řídí a kontroluje všechny činnosti v souvislosti s BOZP v chemickém průmyslu, šetří pracovní úrazy, z hlediska bezpečnosti práce posuzuje a analyzuje projekty, technologické procesy, výrobní a provozní procesy,  zpracovává osnovy školení, zajišťuje vzdělávání zaměstnanců v BOZP a vede příslušnou dokumentaci.</w:t>
      </w:r>
    </w:p>
    <w:p/>
    <w:tbl>
      <w:tblGrid>
        <w:gridCol w:w="3000" w:type="dxa"/>
        <w:gridCol w:w="6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r>
              <w:rPr>
                <w:b w:val="1"/>
                <w:bCs w:val="1"/>
              </w:rPr>
              <w:t xml:space="preserve">Odborný směr:</w:t>
            </w:r>
          </w:p>
        </w:tc>
        <w:tc>
          <w:tcPr>
            <w:tcW w:w="6000" w:type="dxa"/>
          </w:tcPr>
          <w:p>
            <w:pPr/>
            <w:r>
              <w:rPr/>
              <w:t xml:space="preserve">Chemie</w:t>
            </w:r>
          </w:p>
        </w:tc>
      </w:tr>
      <w:tr>
        <w:trPr/>
        <w:tc>
          <w:tcPr/>
          <w:p>
            <w:pPr/>
            <w:r>
              <w:rPr>
                <w:b w:val="1"/>
                <w:bCs w:val="1"/>
              </w:rPr>
              <w:t xml:space="preserve">Odborný podsměr:</w:t>
            </w:r>
          </w:p>
        </w:tc>
        <w:tc>
          <w:tcPr/>
          <w:p>
            <w:pPr/>
            <w:r>
              <w:rPr/>
              <w:t xml:space="preserve">nezařazeno do odborného podsměru</w:t>
            </w:r>
          </w:p>
        </w:tc>
      </w:tr>
      <w:tr>
        <w:trPr/>
        <w:tc>
          <w:tcPr/>
          <w:p>
            <w:pPr/>
            <w:r>
              <w:rPr>
                <w:b w:val="1"/>
                <w:bCs w:val="1"/>
              </w:rPr>
              <w:t xml:space="preserve">Další odborné podsměry:</w:t>
            </w:r>
          </w:p>
        </w:tc>
        <w:tc>
          <w:tcPr/>
          <w:p>
            <w:pPr/>
            <w:r>
              <w:rPr/>
              <w:t xml:space="preserve">BOZP a PO</w:t>
            </w:r>
          </w:p>
        </w:tc>
      </w:tr>
      <w:tr>
        <w:trPr/>
        <w:tc>
          <w:tcPr/>
          <w:p>
            <w:pPr/>
            <w:r>
              <w:rPr>
                <w:b w:val="1"/>
                <w:bCs w:val="1"/>
              </w:rPr>
              <w:t xml:space="preserve">Kvalifikační úroveň:</w:t>
            </w:r>
          </w:p>
        </w:tc>
        <w:tc>
          <w:tcPr/>
          <w:p>
            <w:pPr/>
            <w:r>
              <w:rPr/>
              <w:t xml:space="preserve">Střední vzdělání s maturitní zkouškou; Střední vzdělání s výučním listem i maturitní zkouškou</w:t>
            </w:r>
          </w:p>
        </w:tc>
      </w:tr>
      <w:tr>
        <w:trPr/>
        <w:tc>
          <w:tcPr/>
          <w:p>
            <w:pPr/>
            <w:r>
              <w:rPr>
                <w:b w:val="1"/>
                <w:bCs w:val="1"/>
              </w:rPr>
              <w:t xml:space="preserve">Alternativní názvy:</w:t>
            </w:r>
          </w:p>
        </w:tc>
        <w:tc>
          <w:tcPr/>
          <w:p>
            <w:pPr/>
            <w:r>
              <w:rPr/>
              <w:t xml:space="preserve">Technik BOZP v chemickém průmyslu</w:t>
            </w:r>
          </w:p>
        </w:tc>
      </w:tr>
      <w:tr>
        <w:trPr/>
        <w:tc>
          <w:tcPr/>
          <w:p>
            <w:pPr/>
            <w:r>
              <w:rPr>
                <w:b w:val="1"/>
                <w:bCs w:val="1"/>
              </w:rPr>
              <w:t xml:space="preserve">Nadřízené povolání:</w:t>
            </w:r>
          </w:p>
        </w:tc>
        <w:tc>
          <w:tcPr/>
          <w:p>
            <w:pPr/>
            <w:r>
              <w:rPr/>
              <w:t xml:space="preserve">Chemický technik</w:t>
            </w:r>
          </w:p>
        </w:tc>
      </w:tr>
      <w:tr>
        <w:trPr/>
        <w:tc>
          <w:tcPr/>
          <w:p>
            <w:pPr/>
            <w:r>
              <w:rPr>
                <w:b w:val="1"/>
                <w:bCs w:val="1"/>
              </w:rPr>
              <w:t xml:space="preserve">Příbuzné specializace:</w:t>
            </w:r>
          </w:p>
        </w:tc>
        <w:tc>
          <w:tcPr/>
          <w:p>
            <w:pPr/>
            <w:r>
              <w:rPr/>
              <w:t xml:space="preserve">Chemický technik pro environment, Chemický technik mistr, Chemický technik environmentální geochemik, Chemický technik operátor, Chemický technik produktmanažer, Chemický technik analytik, Chemický technik pro povrchové úpravy materiálů, Chemický technik manažer provozu, Chemický technik pro kompozitní materiály, Chemický technik BOZP, Chemický technik plánovač, Chemický technik technolog, Chemický technik pro povrchové úpravy materiálů</w:t>
            </w:r>
          </w:p>
        </w:tc>
      </w:tr>
      <w:tr>
        <w:trPr/>
        <w:tc>
          <w:tcPr/>
          <w:p>
            <w:pPr/>
            <w:r>
              <w:rPr>
                <w:b w:val="1"/>
                <w:bCs w:val="1"/>
              </w:rPr>
              <w:t xml:space="preserve">Regulovaná jednotka práce:</w:t>
            </w:r>
          </w:p>
        </w:tc>
        <w:tc>
          <w:tcPr/>
          <w:p>
            <w:pPr/>
            <w:r>
              <w:rPr/>
              <w:t xml:space="preserve">ne</w:t>
            </w:r>
          </w:p>
        </w:tc>
      </w:tr>
    </w:tbl>
    <w:p/>
    <w:p>
      <w:pPr>
        <w:pStyle w:val="Heading2"/>
      </w:pPr>
      <w:bookmarkStart w:id="2" w:name="_Toc2"/>
      <w:r>
        <w:t>Pracovní činnosti</w:t>
      </w:r>
      <w:bookmarkEnd w:id="2"/>
    </w:p>
    <w:p>
      <w:pPr>
        <w:numPr>
          <w:ilvl w:val="0"/>
          <w:numId w:val="5"/>
        </w:numPr>
      </w:pPr>
      <w:r>
        <w:rPr/>
        <w:t xml:space="preserve">Sledování vývoje chemické legislativy.</w:t>
      </w:r>
    </w:p>
    <w:p>
      <w:pPr>
        <w:numPr>
          <w:ilvl w:val="0"/>
          <w:numId w:val="5"/>
        </w:numPr>
      </w:pPr>
      <w:r>
        <w:rPr/>
        <w:t xml:space="preserve">Tvorba registru právních a jiných předpisů pro bezpečné nakládání s chemickými látkami.</w:t>
      </w:r>
    </w:p>
    <w:p>
      <w:pPr>
        <w:numPr>
          <w:ilvl w:val="0"/>
          <w:numId w:val="5"/>
        </w:numPr>
      </w:pPr>
      <w:r>
        <w:rPr/>
        <w:t xml:space="preserve">Spolupráce při tvorbě integrovaného systému řízení organizace v oblasti bezpečnosti práce a ochrany životního prostředí.</w:t>
      </w:r>
    </w:p>
    <w:p>
      <w:pPr>
        <w:numPr>
          <w:ilvl w:val="0"/>
          <w:numId w:val="5"/>
        </w:numPr>
      </w:pPr>
      <w:r>
        <w:rPr/>
        <w:t xml:space="preserve">Tvorba dokumentace o plánování a řízení bezpečnosti práce při nakládání s chemickými látkami.</w:t>
      </w:r>
    </w:p>
    <w:p>
      <w:pPr>
        <w:numPr>
          <w:ilvl w:val="0"/>
          <w:numId w:val="5"/>
        </w:numPr>
      </w:pPr>
      <w:r>
        <w:rPr/>
        <w:t xml:space="preserve">Vedení příslušné dokumentace o plánování a řízení bezpečnosti práce při nakládání s chemickými látkami.</w:t>
      </w:r>
    </w:p>
    <w:p>
      <w:pPr>
        <w:numPr>
          <w:ilvl w:val="0"/>
          <w:numId w:val="5"/>
        </w:numPr>
      </w:pPr>
      <w:r>
        <w:rPr/>
        <w:t xml:space="preserve">Kontrola nakládání s chemickými látkami z hlediska bezpečnosti práce a ochrany životního prostředí a návrhy opatření na odstranění případných neshod.</w:t>
      </w:r>
    </w:p>
    <w:p>
      <w:pPr>
        <w:numPr>
          <w:ilvl w:val="0"/>
          <w:numId w:val="5"/>
        </w:numPr>
      </w:pPr>
      <w:r>
        <w:rPr/>
        <w:t xml:space="preserve">Spolupráce s kontrolními orgány pro dodržování chemické legislativy.</w:t>
      </w:r>
    </w:p>
    <w:p>
      <w:pPr>
        <w:numPr>
          <w:ilvl w:val="0"/>
          <w:numId w:val="5"/>
        </w:numPr>
      </w:pPr>
      <w:r>
        <w:rPr/>
        <w:t xml:space="preserve">Stanovení obsahu a forem školení zaměstnanců při nakládání s chemickými látkami z hlediska bezpečnosti práce a ochrany životního.</w:t>
      </w:r>
    </w:p>
    <w:p>
      <w:pPr>
        <w:numPr>
          <w:ilvl w:val="0"/>
          <w:numId w:val="5"/>
        </w:numPr>
      </w:pPr>
      <w:r>
        <w:rPr/>
        <w:t xml:space="preserve">Provádění školení.</w:t>
      </w:r>
    </w:p>
    <w:p>
      <w:pPr>
        <w:numPr>
          <w:ilvl w:val="0"/>
          <w:numId w:val="5"/>
        </w:numPr>
      </w:pPr>
      <w:r>
        <w:rPr/>
        <w:t xml:space="preserve">Podíl na tvorbě havarijních plánů při incidentech způsobených chemickými látkami.</w:t>
      </w:r>
    </w:p>
    <w:p>
      <w:pPr>
        <w:numPr>
          <w:ilvl w:val="0"/>
          <w:numId w:val="5"/>
        </w:numPr>
      </w:pPr>
      <w:r>
        <w:rPr/>
        <w:t xml:space="preserve">Spolupráce při identifikaci rizik a hodnocení rizik a při navrhování opatření k jejich odstraňování nebo minimalizaci.</w:t>
      </w:r>
    </w:p>
    <w:p>
      <w:pPr>
        <w:numPr>
          <w:ilvl w:val="0"/>
          <w:numId w:val="5"/>
        </w:numPr>
      </w:pPr>
      <w:r>
        <w:rPr/>
        <w:t xml:space="preserve">Spolupráce při vyšetřování pracovních úrazů a incidentů způsobených nakládáním s chemickými látkami, vyhodnocuje jejich příčiny a navrhuje opatření k zabránění jejich opakování.</w:t>
      </w:r>
    </w:p>
    <w:p>
      <w:pPr>
        <w:numPr>
          <w:ilvl w:val="0"/>
          <w:numId w:val="5"/>
        </w:numPr>
      </w:pPr>
      <w:r>
        <w:rPr/>
        <w:t xml:space="preserve">Spolupráce při kategorizaci prací z hlediska bezpečného nakládání s chemickými látkami.</w:t>
      </w:r>
    </w:p>
    <w:p>
      <w:pPr>
        <w:numPr>
          <w:ilvl w:val="0"/>
          <w:numId w:val="5"/>
        </w:numPr>
      </w:pPr>
      <w:r>
        <w:rPr/>
        <w:t xml:space="preserve">Spolupráce s vedením organizace při plánování nakládání s chemickými látkami s cílem minimalizovat dopad na zdraví zaměstnanců a na životní prostředí. Iniciace principu předběžné opatrnosti.</w:t>
      </w:r>
    </w:p>
    <w:p>
      <w:pPr>
        <w:numPr>
          <w:ilvl w:val="0"/>
          <w:numId w:val="5"/>
        </w:numPr>
      </w:pPr>
      <w:r>
        <w:rPr/>
        <w:t xml:space="preserve">Spolupráce s poskytovatelem pracovně-lékařských služeb podle zákona o specifických zdravotních službách.</w:t>
      </w:r>
    </w:p>
    <w:p>
      <w:pPr>
        <w:numPr>
          <w:ilvl w:val="0"/>
          <w:numId w:val="5"/>
        </w:numPr>
      </w:pPr>
      <w:r>
        <w:rPr/>
        <w:t xml:space="preserve">Určování typů a druhů osobních ochranných pracovních prostředků podle zjištěných rizik při nakládání s chemickými látkami.</w:t>
      </w:r>
    </w:p>
    <w:p/>
    <w:p>
      <w:pPr>
        <w:pStyle w:val="Heading2"/>
      </w:pPr>
      <w:bookmarkStart w:id="3" w:name="_Toc3"/>
      <w:r>
        <w:t>CZ-ISCO</w:t>
      </w:r>
      <w:bookmarkEnd w:id="3"/>
    </w:p>
    <w:p>
      <w:pPr>
        <w:numPr>
          <w:ilvl w:val="0"/>
          <w:numId w:val="5"/>
        </w:numPr>
      </w:pPr>
      <w:r>
        <w:rPr/>
        <w:t xml:space="preserve">Technici bezpečnosti práce a ochrany zdraví, racionalizace výroby, ergonomických studií</w:t>
      </w:r>
    </w:p>
    <w:p>
      <w:pPr>
        <w:numPr>
          <w:ilvl w:val="0"/>
          <w:numId w:val="5"/>
        </w:numPr>
      </w:pPr>
      <w:r>
        <w:rPr/>
        <w:t xml:space="preserve">Technici v ostatních průmyslových oborech</w:t>
      </w:r>
    </w:p>
    <w:p/>
    <w:p>
      <w:pPr>
        <w:pStyle w:val="Heading3"/>
      </w:pPr>
      <w:bookmarkStart w:id="4" w:name="_Toc4"/>
      <w:r>
        <w:t>Hrubé měsíční mzdy podle krajů v roce 2020</w:t>
      </w:r>
      <w:bookmarkEnd w:id="4"/>
    </w:p>
    <w:p>
      <w:pPr>
        <w:pStyle w:val="Heading4"/>
      </w:pPr>
      <w:bookmarkStart w:id="5" w:name="_Toc5"/>
      <w:r>
        <w:t>Technici v ostatních průmyslových oborech (CZ-ISCO 3119)</w:t>
      </w:r>
      <w:bookmarkEnd w:id="5"/>
    </w:p>
    <w:tbl>
      <w:tblGrid>
        <w:gridCol w:w="2400" w:type="dxa"/>
        <w:gridCol w:w="1100" w:type="dxa"/>
        <w:gridCol w:w="1100" w:type="dxa"/>
        <w:gridCol w:w="1100" w:type="dxa"/>
        <w:gridCol w:w="1100" w:type="dxa"/>
        <w:gridCol w:w="1100" w:type="dxa"/>
        <w:gridCol w:w="1100" w:type="dxa"/>
      </w:tblGrid>
      <w:tblPr>
        <w:jc w:val="start"/>
        <w:tblW w:w="0" w:type="auto"/>
        <w:tblCellSpacing w:w="50" w:type="dxa"/>
        <w:tblLayout w:type="autofit"/>
        <w:bidiVisual w:val="0"/>
        <w:tblCellMar>
          <w:top w:w="80" w:type="dxa"/>
          <w:left w:w="80" w:type="dxa"/>
          <w:right w:w="80" w:type="dxa"/>
          <w:bottom w:w="80" w:type="dxa"/>
        </w:tblCellMar>
      </w:tblPr>
      <w:tr>
        <w:trPr/>
        <w:tc>
          <w:tcPr>
            <w:tcW w:w="2400" w:type="dxa"/>
          </w:tcPr>
          <w:p/>
        </w:tc>
        <w:tc>
          <w:tcPr>
            <w:tcW w:w="3300" w:type="dxa"/>
            <w:gridSpan w:val="3"/>
          </w:tcPr>
          <w:p>
            <w:pPr>
              <w:jc w:val="center"/>
            </w:pPr>
            <w:r>
              <w:rPr>
                <w:b w:val="1"/>
                <w:bCs w:val="1"/>
              </w:rPr>
              <w:t xml:space="preserve">Mzdová sféra</w:t>
            </w:r>
          </w:p>
        </w:tc>
        <w:tc>
          <w:tcPr>
            <w:tcW w:w="3300" w:type="dxa"/>
            <w:gridSpan w:val="3"/>
          </w:tcPr>
          <w:p>
            <w:pPr>
              <w:jc w:val="center"/>
            </w:pPr>
            <w:r>
              <w:rPr>
                <w:b w:val="1"/>
                <w:bCs w:val="1"/>
              </w:rPr>
              <w:t xml:space="preserve">Platová sféra</w:t>
            </w:r>
          </w:p>
        </w:tc>
      </w:tr>
      <w:tr>
        <w:trPr/>
        <w:tc>
          <w:tcPr>
            <w:tcW w:w="2400" w:type="dxa"/>
          </w:tcPr>
          <w:p>
            <w:pPr/>
            <w:r>
              <w:rPr>
                <w:b w:val="1"/>
                <w:bCs w:val="1"/>
              </w:rPr>
              <w:t xml:space="preserve">Kraj</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r>
      <w:tr>
        <w:trPr/>
        <w:tc>
          <w:tcPr>
            <w:tcW w:w="2000" w:type="dxa"/>
          </w:tcPr>
          <w:p>
            <w:pPr/>
            <w:r>
              <w:rPr/>
              <w:t xml:space="preserve">Hlavní město Praha</w:t>
            </w:r>
          </w:p>
        </w:tc>
        <w:tc>
          <w:tcPr>
            <w:tcW w:w="1000" w:type="dxa"/>
          </w:tcPr>
          <w:p>
            <w:pPr>
              <w:jc w:val="center"/>
            </w:pPr>
            <w:r>
              <w:rPr/>
              <w:t xml:space="preserve">26 403 Kč</w:t>
            </w:r>
          </w:p>
        </w:tc>
        <w:tc>
          <w:tcPr>
            <w:tcW w:w="1000" w:type="dxa"/>
          </w:tcPr>
          <w:p>
            <w:pPr>
              <w:jc w:val="center"/>
            </w:pPr>
            <w:r>
              <w:rPr/>
              <w:t xml:space="preserve">38 356 Kč</w:t>
            </w:r>
          </w:p>
        </w:tc>
        <w:tc>
          <w:tcPr>
            <w:tcW w:w="1000" w:type="dxa"/>
          </w:tcPr>
          <w:p>
            <w:pPr>
              <w:jc w:val="center"/>
            </w:pPr>
            <w:r>
              <w:rPr/>
              <w:t xml:space="preserve">59 218 Kč</w:t>
            </w:r>
          </w:p>
        </w:tc>
        <w:tc>
          <w:tcPr>
            <w:tcW w:w="1000" w:type="dxa"/>
          </w:tcPr>
          <w:p>
            <w:pPr>
              <w:jc w:val="center"/>
            </w:pPr>
            <w:r>
              <w:rPr/>
              <w:t xml:space="preserve">27 548 Kč</w:t>
            </w:r>
          </w:p>
        </w:tc>
        <w:tc>
          <w:tcPr>
            <w:tcW w:w="1000" w:type="dxa"/>
          </w:tcPr>
          <w:p>
            <w:pPr>
              <w:jc w:val="center"/>
            </w:pPr>
            <w:r>
              <w:rPr/>
              <w:t xml:space="preserve">32 499 Kč</w:t>
            </w:r>
          </w:p>
        </w:tc>
        <w:tc>
          <w:tcPr>
            <w:tcW w:w="1000" w:type="dxa"/>
          </w:tcPr>
          <w:p>
            <w:pPr>
              <w:jc w:val="center"/>
            </w:pPr>
            <w:r>
              <w:rPr/>
              <w:t xml:space="preserve">54 359 Kč</w:t>
            </w:r>
          </w:p>
        </w:tc>
      </w:tr>
      <w:tr>
        <w:trPr/>
        <w:tc>
          <w:tcPr>
            <w:tcW w:w="2000" w:type="dxa"/>
          </w:tcPr>
          <w:p>
            <w:pPr/>
            <w:r>
              <w:rPr/>
              <w:t xml:space="preserve">Středočeský kraj</w:t>
            </w:r>
          </w:p>
        </w:tc>
        <w:tc>
          <w:tcPr>
            <w:tcW w:w="1000" w:type="dxa"/>
          </w:tcPr>
          <w:p>
            <w:pPr>
              <w:jc w:val="center"/>
            </w:pPr>
            <w:r>
              <w:rPr/>
              <w:t xml:space="preserve">27 266 Kč</w:t>
            </w:r>
          </w:p>
        </w:tc>
        <w:tc>
          <w:tcPr>
            <w:tcW w:w="1000" w:type="dxa"/>
          </w:tcPr>
          <w:p>
            <w:pPr>
              <w:jc w:val="center"/>
            </w:pPr>
            <w:r>
              <w:rPr/>
              <w:t xml:space="preserve">40 020 Kč</w:t>
            </w:r>
          </w:p>
        </w:tc>
        <w:tc>
          <w:tcPr>
            <w:tcW w:w="1000" w:type="dxa"/>
          </w:tcPr>
          <w:p>
            <w:pPr>
              <w:jc w:val="center"/>
            </w:pPr>
            <w:r>
              <w:rPr/>
              <w:t xml:space="preserve">66 341 Kč</w:t>
            </w:r>
          </w:p>
        </w:tc>
        <w:tc>
          <w:tcPr>
            <w:tcW w:w="1000" w:type="dxa"/>
          </w:tcPr>
          <w:p>
            <w:pPr>
              <w:jc w:val="center"/>
            </w:pPr>
            <w:r>
              <w:rPr/>
              <w:t xml:space="preserve">26 464 Kč</w:t>
            </w:r>
          </w:p>
        </w:tc>
        <w:tc>
          <w:tcPr>
            <w:tcW w:w="1000" w:type="dxa"/>
          </w:tcPr>
          <w:p>
            <w:pPr>
              <w:jc w:val="center"/>
            </w:pPr>
            <w:r>
              <w:rPr/>
              <w:t xml:space="preserve">34 246 Kč</w:t>
            </w:r>
          </w:p>
        </w:tc>
        <w:tc>
          <w:tcPr>
            <w:tcW w:w="1000" w:type="dxa"/>
          </w:tcPr>
          <w:p>
            <w:pPr>
              <w:jc w:val="center"/>
            </w:pPr>
            <w:r>
              <w:rPr/>
              <w:t xml:space="preserve">47 486 Kč</w:t>
            </w:r>
          </w:p>
        </w:tc>
      </w:tr>
      <w:tr>
        <w:trPr/>
        <w:tc>
          <w:tcPr>
            <w:tcW w:w="2000" w:type="dxa"/>
          </w:tcPr>
          <w:p>
            <w:pPr/>
            <w:r>
              <w:rPr/>
              <w:t xml:space="preserve">Jihočeský kraj</w:t>
            </w:r>
          </w:p>
        </w:tc>
        <w:tc>
          <w:tcPr>
            <w:tcW w:w="1000" w:type="dxa"/>
          </w:tcPr>
          <w:p>
            <w:pPr>
              <w:jc w:val="center"/>
            </w:pPr>
            <w:r>
              <w:rPr/>
              <w:t xml:space="preserve">24 628 Kč</w:t>
            </w:r>
          </w:p>
        </w:tc>
        <w:tc>
          <w:tcPr>
            <w:tcW w:w="1000" w:type="dxa"/>
          </w:tcPr>
          <w:p>
            <w:pPr>
              <w:jc w:val="center"/>
            </w:pPr>
            <w:r>
              <w:rPr/>
              <w:t xml:space="preserve">42 126 Kč</w:t>
            </w:r>
          </w:p>
        </w:tc>
        <w:tc>
          <w:tcPr>
            <w:tcW w:w="1000" w:type="dxa"/>
          </w:tcPr>
          <w:p>
            <w:pPr>
              <w:jc w:val="center"/>
            </w:pPr>
            <w:r>
              <w:rPr/>
              <w:t xml:space="preserve">59 824 Kč</w:t>
            </w:r>
          </w:p>
        </w:tc>
        <w:tc>
          <w:tcPr>
            <w:tcW w:w="1000" w:type="dxa"/>
          </w:tcPr>
          <w:p>
            <w:pPr>
              <w:jc w:val="center"/>
            </w:pPr>
            <w:r>
              <w:rPr/>
              <w:t xml:space="preserve">24 932 Kč</w:t>
            </w:r>
          </w:p>
        </w:tc>
        <w:tc>
          <w:tcPr>
            <w:tcW w:w="1000" w:type="dxa"/>
          </w:tcPr>
          <w:p>
            <w:pPr>
              <w:jc w:val="center"/>
            </w:pPr>
            <w:r>
              <w:rPr/>
              <w:t xml:space="preserve">33 351 Kč</w:t>
            </w:r>
          </w:p>
        </w:tc>
        <w:tc>
          <w:tcPr>
            <w:tcW w:w="1000" w:type="dxa"/>
          </w:tcPr>
          <w:p>
            <w:pPr>
              <w:jc w:val="center"/>
            </w:pPr>
            <w:r>
              <w:rPr/>
              <w:t xml:space="preserve">46 629 Kč</w:t>
            </w:r>
          </w:p>
        </w:tc>
      </w:tr>
      <w:tr>
        <w:trPr/>
        <w:tc>
          <w:tcPr>
            <w:tcW w:w="2000" w:type="dxa"/>
          </w:tcPr>
          <w:p>
            <w:pPr/>
            <w:r>
              <w:rPr/>
              <w:t xml:space="preserve">Plzeňský kraj</w:t>
            </w:r>
          </w:p>
        </w:tc>
        <w:tc>
          <w:tcPr>
            <w:tcW w:w="1000" w:type="dxa"/>
          </w:tcPr>
          <w:p>
            <w:pPr>
              <w:jc w:val="center"/>
            </w:pPr>
            <w:r>
              <w:rPr/>
              <w:t xml:space="preserve">30 845 Kč</w:t>
            </w:r>
          </w:p>
        </w:tc>
        <w:tc>
          <w:tcPr>
            <w:tcW w:w="1000" w:type="dxa"/>
          </w:tcPr>
          <w:p>
            <w:pPr>
              <w:jc w:val="center"/>
            </w:pPr>
            <w:r>
              <w:rPr/>
              <w:t xml:space="preserve">41 238 Kč</w:t>
            </w:r>
          </w:p>
        </w:tc>
        <w:tc>
          <w:tcPr>
            <w:tcW w:w="1000" w:type="dxa"/>
          </w:tcPr>
          <w:p>
            <w:pPr>
              <w:jc w:val="center"/>
            </w:pPr>
            <w:r>
              <w:rPr/>
              <w:t xml:space="preserve">62 522 Kč</w:t>
            </w:r>
          </w:p>
        </w:tc>
        <w:tc>
          <w:tcPr>
            <w:tcW w:w="1000" w:type="dxa"/>
          </w:tcPr>
          <w:p>
            <w:pPr>
              <w:jc w:val="center"/>
            </w:pPr>
            <w:r>
              <w:rPr/>
              <w:t xml:space="preserve">29 186 Kč</w:t>
            </w:r>
          </w:p>
        </w:tc>
        <w:tc>
          <w:tcPr>
            <w:tcW w:w="1000" w:type="dxa"/>
          </w:tcPr>
          <w:p>
            <w:pPr>
              <w:jc w:val="center"/>
            </w:pPr>
            <w:r>
              <w:rPr/>
              <w:t xml:space="preserve">38 738 Kč</w:t>
            </w:r>
          </w:p>
        </w:tc>
        <w:tc>
          <w:tcPr>
            <w:tcW w:w="1000" w:type="dxa"/>
          </w:tcPr>
          <w:p>
            <w:pPr>
              <w:jc w:val="center"/>
            </w:pPr>
            <w:r>
              <w:rPr/>
              <w:t xml:space="preserve">54 244 Kč</w:t>
            </w:r>
          </w:p>
        </w:tc>
      </w:tr>
      <w:tr>
        <w:trPr/>
        <w:tc>
          <w:tcPr>
            <w:tcW w:w="2000" w:type="dxa"/>
          </w:tcPr>
          <w:p>
            <w:pPr/>
            <w:r>
              <w:rPr/>
              <w:t xml:space="preserve">Karlovarský kraj</w:t>
            </w:r>
          </w:p>
        </w:tc>
        <w:tc>
          <w:tcPr>
            <w:tcW w:w="1000" w:type="dxa"/>
          </w:tcPr>
          <w:p/>
        </w:tc>
        <w:tc>
          <w:tcPr>
            <w:tcW w:w="1000" w:type="dxa"/>
          </w:tcPr>
          <w:p/>
        </w:tc>
        <w:tc>
          <w:tcPr>
            <w:tcW w:w="1000" w:type="dxa"/>
          </w:tcPr>
          <w:p/>
        </w:tc>
        <w:tc>
          <w:tcPr>
            <w:tcW w:w="1000" w:type="dxa"/>
          </w:tcPr>
          <w:p>
            <w:pPr>
              <w:jc w:val="center"/>
            </w:pPr>
            <w:r>
              <w:rPr/>
              <w:t xml:space="preserve">32 037 Kč</w:t>
            </w:r>
          </w:p>
        </w:tc>
        <w:tc>
          <w:tcPr>
            <w:tcW w:w="1000" w:type="dxa"/>
          </w:tcPr>
          <w:p>
            <w:pPr>
              <w:jc w:val="center"/>
            </w:pPr>
            <w:r>
              <w:rPr/>
              <w:t xml:space="preserve">38 407 Kč</w:t>
            </w:r>
          </w:p>
        </w:tc>
        <w:tc>
          <w:tcPr>
            <w:tcW w:w="1000" w:type="dxa"/>
          </w:tcPr>
          <w:p>
            <w:pPr>
              <w:jc w:val="center"/>
            </w:pPr>
            <w:r>
              <w:rPr/>
              <w:t xml:space="preserve">54 438 Kč</w:t>
            </w:r>
          </w:p>
        </w:tc>
      </w:tr>
      <w:tr>
        <w:trPr/>
        <w:tc>
          <w:tcPr>
            <w:tcW w:w="2000" w:type="dxa"/>
          </w:tcPr>
          <w:p>
            <w:pPr/>
            <w:r>
              <w:rPr/>
              <w:t xml:space="preserve">Ústecký kraj</w:t>
            </w:r>
          </w:p>
        </w:tc>
        <w:tc>
          <w:tcPr>
            <w:tcW w:w="1000" w:type="dxa"/>
          </w:tcPr>
          <w:p>
            <w:pPr>
              <w:jc w:val="center"/>
            </w:pPr>
            <w:r>
              <w:rPr/>
              <w:t xml:space="preserve">30 716 Kč</w:t>
            </w:r>
          </w:p>
        </w:tc>
        <w:tc>
          <w:tcPr>
            <w:tcW w:w="1000" w:type="dxa"/>
          </w:tcPr>
          <w:p>
            <w:pPr>
              <w:jc w:val="center"/>
            </w:pPr>
            <w:r>
              <w:rPr/>
              <w:t xml:space="preserve">42 189 Kč</w:t>
            </w:r>
          </w:p>
        </w:tc>
        <w:tc>
          <w:tcPr>
            <w:tcW w:w="1000" w:type="dxa"/>
          </w:tcPr>
          <w:p>
            <w:pPr>
              <w:jc w:val="center"/>
            </w:pPr>
            <w:r>
              <w:rPr/>
              <w:t xml:space="preserve">76 827 Kč</w:t>
            </w:r>
          </w:p>
        </w:tc>
        <w:tc>
          <w:tcPr>
            <w:tcW w:w="1000" w:type="dxa"/>
          </w:tcPr>
          <w:p>
            <w:pPr>
              <w:jc w:val="center"/>
            </w:pPr>
            <w:r>
              <w:rPr/>
              <w:t xml:space="preserve">29 662 Kč</w:t>
            </w:r>
          </w:p>
        </w:tc>
        <w:tc>
          <w:tcPr>
            <w:tcW w:w="1000" w:type="dxa"/>
          </w:tcPr>
          <w:p>
            <w:pPr>
              <w:jc w:val="center"/>
            </w:pPr>
            <w:r>
              <w:rPr/>
              <w:t xml:space="preserve">37 761 Kč</w:t>
            </w:r>
          </w:p>
        </w:tc>
        <w:tc>
          <w:tcPr>
            <w:tcW w:w="1000" w:type="dxa"/>
          </w:tcPr>
          <w:p>
            <w:pPr>
              <w:jc w:val="center"/>
            </w:pPr>
            <w:r>
              <w:rPr/>
              <w:t xml:space="preserve">46 885 Kč</w:t>
            </w:r>
          </w:p>
        </w:tc>
      </w:tr>
      <w:tr>
        <w:trPr/>
        <w:tc>
          <w:tcPr>
            <w:tcW w:w="2000" w:type="dxa"/>
          </w:tcPr>
          <w:p>
            <w:pPr/>
            <w:r>
              <w:rPr/>
              <w:t xml:space="preserve">Liberecký kraj</w:t>
            </w:r>
          </w:p>
        </w:tc>
        <w:tc>
          <w:tcPr>
            <w:tcW w:w="1000" w:type="dxa"/>
          </w:tcPr>
          <w:p>
            <w:pPr>
              <w:jc w:val="center"/>
            </w:pPr>
            <w:r>
              <w:rPr/>
              <w:t xml:space="preserve">26 510 Kč</w:t>
            </w:r>
          </w:p>
        </w:tc>
        <w:tc>
          <w:tcPr>
            <w:tcW w:w="1000" w:type="dxa"/>
          </w:tcPr>
          <w:p>
            <w:pPr>
              <w:jc w:val="center"/>
            </w:pPr>
            <w:r>
              <w:rPr/>
              <w:t xml:space="preserve">40 891 Kč</w:t>
            </w:r>
          </w:p>
        </w:tc>
        <w:tc>
          <w:tcPr>
            <w:tcW w:w="1000" w:type="dxa"/>
          </w:tcPr>
          <w:p>
            <w:pPr>
              <w:jc w:val="center"/>
            </w:pPr>
            <w:r>
              <w:rPr/>
              <w:t xml:space="preserve">68 259 Kč</w:t>
            </w:r>
          </w:p>
        </w:tc>
        <w:tc>
          <w:tcPr>
            <w:tcW w:w="1000" w:type="dxa"/>
          </w:tcPr>
          <w:p>
            <w:pPr>
              <w:jc w:val="center"/>
            </w:pPr>
            <w:r>
              <w:rPr/>
              <w:t xml:space="preserve">27 072 Kč</w:t>
            </w:r>
          </w:p>
        </w:tc>
        <w:tc>
          <w:tcPr>
            <w:tcW w:w="1000" w:type="dxa"/>
          </w:tcPr>
          <w:p>
            <w:pPr>
              <w:jc w:val="center"/>
            </w:pPr>
            <w:r>
              <w:rPr/>
              <w:t xml:space="preserve">34 717 Kč</w:t>
            </w:r>
          </w:p>
        </w:tc>
        <w:tc>
          <w:tcPr>
            <w:tcW w:w="1000" w:type="dxa"/>
          </w:tcPr>
          <w:p>
            <w:pPr>
              <w:jc w:val="center"/>
            </w:pPr>
            <w:r>
              <w:rPr/>
              <w:t xml:space="preserve">53 835 Kč</w:t>
            </w:r>
          </w:p>
        </w:tc>
      </w:tr>
      <w:tr>
        <w:trPr/>
        <w:tc>
          <w:tcPr>
            <w:tcW w:w="2000" w:type="dxa"/>
          </w:tcPr>
          <w:p>
            <w:pPr/>
            <w:r>
              <w:rPr/>
              <w:t xml:space="preserve">Královéhradecký kraj</w:t>
            </w:r>
          </w:p>
        </w:tc>
        <w:tc>
          <w:tcPr>
            <w:tcW w:w="1000" w:type="dxa"/>
          </w:tcPr>
          <w:p>
            <w:pPr>
              <w:jc w:val="center"/>
            </w:pPr>
            <w:r>
              <w:rPr/>
              <w:t xml:space="preserve">27 153 Kč</w:t>
            </w:r>
          </w:p>
        </w:tc>
        <w:tc>
          <w:tcPr>
            <w:tcW w:w="1000" w:type="dxa"/>
          </w:tcPr>
          <w:p>
            <w:pPr>
              <w:jc w:val="center"/>
            </w:pPr>
            <w:r>
              <w:rPr/>
              <w:t xml:space="preserve">38 236 Kč</w:t>
            </w:r>
          </w:p>
        </w:tc>
        <w:tc>
          <w:tcPr>
            <w:tcW w:w="1000" w:type="dxa"/>
          </w:tcPr>
          <w:p>
            <w:pPr>
              <w:jc w:val="center"/>
            </w:pPr>
            <w:r>
              <w:rPr/>
              <w:t xml:space="preserve">53 162 Kč</w:t>
            </w:r>
          </w:p>
        </w:tc>
        <w:tc>
          <w:tcPr>
            <w:tcW w:w="1000" w:type="dxa"/>
          </w:tcPr>
          <w:p>
            <w:pPr>
              <w:jc w:val="center"/>
            </w:pPr>
            <w:r>
              <w:rPr/>
              <w:t xml:space="preserve">27 854 Kč</w:t>
            </w:r>
          </w:p>
        </w:tc>
        <w:tc>
          <w:tcPr>
            <w:tcW w:w="1000" w:type="dxa"/>
          </w:tcPr>
          <w:p>
            <w:pPr>
              <w:jc w:val="center"/>
            </w:pPr>
            <w:r>
              <w:rPr/>
              <w:t xml:space="preserve">34 456 Kč</w:t>
            </w:r>
          </w:p>
        </w:tc>
        <w:tc>
          <w:tcPr>
            <w:tcW w:w="1000" w:type="dxa"/>
          </w:tcPr>
          <w:p>
            <w:pPr>
              <w:jc w:val="center"/>
            </w:pPr>
            <w:r>
              <w:rPr/>
              <w:t xml:space="preserve">43 433 Kč</w:t>
            </w:r>
          </w:p>
        </w:tc>
      </w:tr>
      <w:tr>
        <w:trPr/>
        <w:tc>
          <w:tcPr>
            <w:tcW w:w="2000" w:type="dxa"/>
          </w:tcPr>
          <w:p>
            <w:pPr/>
            <w:r>
              <w:rPr/>
              <w:t xml:space="preserve">Pardubický kraj</w:t>
            </w:r>
          </w:p>
        </w:tc>
        <w:tc>
          <w:tcPr>
            <w:tcW w:w="1000" w:type="dxa"/>
          </w:tcPr>
          <w:p>
            <w:pPr>
              <w:jc w:val="center"/>
            </w:pPr>
            <w:r>
              <w:rPr/>
              <w:t xml:space="preserve">23 776 Kč</w:t>
            </w:r>
          </w:p>
        </w:tc>
        <w:tc>
          <w:tcPr>
            <w:tcW w:w="1000" w:type="dxa"/>
          </w:tcPr>
          <w:p>
            <w:pPr>
              <w:jc w:val="center"/>
            </w:pPr>
            <w:r>
              <w:rPr/>
              <w:t xml:space="preserve">33 909 Kč</w:t>
            </w:r>
          </w:p>
        </w:tc>
        <w:tc>
          <w:tcPr>
            <w:tcW w:w="1000" w:type="dxa"/>
          </w:tcPr>
          <w:p>
            <w:pPr>
              <w:jc w:val="center"/>
            </w:pPr>
            <w:r>
              <w:rPr/>
              <w:t xml:space="preserve">54 677 Kč</w:t>
            </w:r>
          </w:p>
        </w:tc>
        <w:tc>
          <w:tcPr>
            <w:tcW w:w="1000" w:type="dxa"/>
          </w:tcPr>
          <w:p>
            <w:pPr>
              <w:jc w:val="center"/>
            </w:pPr>
            <w:r>
              <w:rPr/>
              <w:t xml:space="preserve">27 966 Kč</w:t>
            </w:r>
          </w:p>
        </w:tc>
        <w:tc>
          <w:tcPr>
            <w:tcW w:w="1000" w:type="dxa"/>
          </w:tcPr>
          <w:p>
            <w:pPr>
              <w:jc w:val="center"/>
            </w:pPr>
            <w:r>
              <w:rPr/>
              <w:t xml:space="preserve">35 610 Kč</w:t>
            </w:r>
          </w:p>
        </w:tc>
        <w:tc>
          <w:tcPr>
            <w:tcW w:w="1000" w:type="dxa"/>
          </w:tcPr>
          <w:p>
            <w:pPr>
              <w:jc w:val="center"/>
            </w:pPr>
            <w:r>
              <w:rPr/>
              <w:t xml:space="preserve">48 448 Kč</w:t>
            </w:r>
          </w:p>
        </w:tc>
      </w:tr>
      <w:tr>
        <w:trPr/>
        <w:tc>
          <w:tcPr>
            <w:tcW w:w="2000" w:type="dxa"/>
          </w:tcPr>
          <w:p>
            <w:pPr/>
            <w:r>
              <w:rPr/>
              <w:t xml:space="preserve">Kraj Vysočina</w:t>
            </w:r>
          </w:p>
        </w:tc>
        <w:tc>
          <w:tcPr>
            <w:tcW w:w="1000" w:type="dxa"/>
          </w:tcPr>
          <w:p>
            <w:pPr>
              <w:jc w:val="center"/>
            </w:pPr>
            <w:r>
              <w:rPr/>
              <w:t xml:space="preserve">24 740 Kč</w:t>
            </w:r>
          </w:p>
        </w:tc>
        <w:tc>
          <w:tcPr>
            <w:tcW w:w="1000" w:type="dxa"/>
          </w:tcPr>
          <w:p>
            <w:pPr>
              <w:jc w:val="center"/>
            </w:pPr>
            <w:r>
              <w:rPr/>
              <w:t xml:space="preserve">36 979 Kč</w:t>
            </w:r>
          </w:p>
        </w:tc>
        <w:tc>
          <w:tcPr>
            <w:tcW w:w="1000" w:type="dxa"/>
          </w:tcPr>
          <w:p>
            <w:pPr>
              <w:jc w:val="center"/>
            </w:pPr>
            <w:r>
              <w:rPr/>
              <w:t xml:space="preserve">60 180 Kč</w:t>
            </w:r>
          </w:p>
        </w:tc>
        <w:tc>
          <w:tcPr>
            <w:tcW w:w="1000" w:type="dxa"/>
          </w:tcPr>
          <w:p>
            <w:pPr>
              <w:jc w:val="center"/>
            </w:pPr>
            <w:r>
              <w:rPr/>
              <w:t xml:space="preserve">26 538 Kč</w:t>
            </w:r>
          </w:p>
        </w:tc>
        <w:tc>
          <w:tcPr>
            <w:tcW w:w="1000" w:type="dxa"/>
          </w:tcPr>
          <w:p>
            <w:pPr>
              <w:jc w:val="center"/>
            </w:pPr>
            <w:r>
              <w:rPr/>
              <w:t xml:space="preserve">34 588 Kč</w:t>
            </w:r>
          </w:p>
        </w:tc>
        <w:tc>
          <w:tcPr>
            <w:tcW w:w="1000" w:type="dxa"/>
          </w:tcPr>
          <w:p>
            <w:pPr>
              <w:jc w:val="center"/>
            </w:pPr>
            <w:r>
              <w:rPr/>
              <w:t xml:space="preserve">47 482 Kč</w:t>
            </w:r>
          </w:p>
        </w:tc>
      </w:tr>
      <w:tr>
        <w:trPr/>
        <w:tc>
          <w:tcPr>
            <w:tcW w:w="2000" w:type="dxa"/>
          </w:tcPr>
          <w:p>
            <w:pPr/>
            <w:r>
              <w:rPr/>
              <w:t xml:space="preserve">Jihomoravský kraj</w:t>
            </w:r>
          </w:p>
        </w:tc>
        <w:tc>
          <w:tcPr>
            <w:tcW w:w="1000" w:type="dxa"/>
          </w:tcPr>
          <w:p>
            <w:pPr>
              <w:jc w:val="center"/>
            </w:pPr>
            <w:r>
              <w:rPr/>
              <w:t xml:space="preserve">23 127 Kč</w:t>
            </w:r>
          </w:p>
        </w:tc>
        <w:tc>
          <w:tcPr>
            <w:tcW w:w="1000" w:type="dxa"/>
          </w:tcPr>
          <w:p>
            <w:pPr>
              <w:jc w:val="center"/>
            </w:pPr>
            <w:r>
              <w:rPr/>
              <w:t xml:space="preserve">37 118 Kč</w:t>
            </w:r>
          </w:p>
        </w:tc>
        <w:tc>
          <w:tcPr>
            <w:tcW w:w="1000" w:type="dxa"/>
          </w:tcPr>
          <w:p>
            <w:pPr>
              <w:jc w:val="center"/>
            </w:pPr>
            <w:r>
              <w:rPr/>
              <w:t xml:space="preserve">60 178 Kč</w:t>
            </w:r>
          </w:p>
        </w:tc>
        <w:tc>
          <w:tcPr>
            <w:tcW w:w="1000" w:type="dxa"/>
          </w:tcPr>
          <w:p>
            <w:pPr>
              <w:jc w:val="center"/>
            </w:pPr>
            <w:r>
              <w:rPr/>
              <w:t xml:space="preserve">27 442 Kč</w:t>
            </w:r>
          </w:p>
        </w:tc>
        <w:tc>
          <w:tcPr>
            <w:tcW w:w="1000" w:type="dxa"/>
          </w:tcPr>
          <w:p>
            <w:pPr>
              <w:jc w:val="center"/>
            </w:pPr>
            <w:r>
              <w:rPr/>
              <w:t xml:space="preserve">35 997 Kč</w:t>
            </w:r>
          </w:p>
        </w:tc>
        <w:tc>
          <w:tcPr>
            <w:tcW w:w="1000" w:type="dxa"/>
          </w:tcPr>
          <w:p>
            <w:pPr>
              <w:jc w:val="center"/>
            </w:pPr>
            <w:r>
              <w:rPr/>
              <w:t xml:space="preserve">49 320 Kč</w:t>
            </w:r>
          </w:p>
        </w:tc>
      </w:tr>
      <w:tr>
        <w:trPr/>
        <w:tc>
          <w:tcPr>
            <w:tcW w:w="2000" w:type="dxa"/>
          </w:tcPr>
          <w:p>
            <w:pPr/>
            <w:r>
              <w:rPr/>
              <w:t xml:space="preserve">Olomoucký kraj</w:t>
            </w:r>
          </w:p>
        </w:tc>
        <w:tc>
          <w:tcPr>
            <w:tcW w:w="1000" w:type="dxa"/>
          </w:tcPr>
          <w:p/>
        </w:tc>
        <w:tc>
          <w:tcPr>
            <w:tcW w:w="1000" w:type="dxa"/>
          </w:tcPr>
          <w:p/>
        </w:tc>
        <w:tc>
          <w:tcPr>
            <w:tcW w:w="1000" w:type="dxa"/>
          </w:tcPr>
          <w:p/>
        </w:tc>
        <w:tc>
          <w:tcPr>
            <w:tcW w:w="1000" w:type="dxa"/>
          </w:tcPr>
          <w:p>
            <w:pPr>
              <w:jc w:val="center"/>
            </w:pPr>
            <w:r>
              <w:rPr/>
              <w:t xml:space="preserve">29 050 Kč</w:t>
            </w:r>
          </w:p>
        </w:tc>
        <w:tc>
          <w:tcPr>
            <w:tcW w:w="1000" w:type="dxa"/>
          </w:tcPr>
          <w:p>
            <w:pPr>
              <w:jc w:val="center"/>
            </w:pPr>
            <w:r>
              <w:rPr/>
              <w:t xml:space="preserve">37 908 Kč</w:t>
            </w:r>
          </w:p>
        </w:tc>
        <w:tc>
          <w:tcPr>
            <w:tcW w:w="1000" w:type="dxa"/>
          </w:tcPr>
          <w:p>
            <w:pPr>
              <w:jc w:val="center"/>
            </w:pPr>
            <w:r>
              <w:rPr/>
              <w:t xml:space="preserve">45 792 Kč</w:t>
            </w:r>
          </w:p>
        </w:tc>
      </w:tr>
      <w:tr>
        <w:trPr/>
        <w:tc>
          <w:tcPr>
            <w:tcW w:w="2000" w:type="dxa"/>
          </w:tcPr>
          <w:p>
            <w:pPr/>
            <w:r>
              <w:rPr/>
              <w:t xml:space="preserve">Zlínský kraj</w:t>
            </w:r>
          </w:p>
        </w:tc>
        <w:tc>
          <w:tcPr>
            <w:tcW w:w="1000" w:type="dxa"/>
          </w:tcPr>
          <w:p>
            <w:pPr>
              <w:jc w:val="center"/>
            </w:pPr>
            <w:r>
              <w:rPr/>
              <w:t xml:space="preserve">28 423 Kč</w:t>
            </w:r>
          </w:p>
        </w:tc>
        <w:tc>
          <w:tcPr>
            <w:tcW w:w="1000" w:type="dxa"/>
          </w:tcPr>
          <w:p>
            <w:pPr>
              <w:jc w:val="center"/>
            </w:pPr>
            <w:r>
              <w:rPr/>
              <w:t xml:space="preserve">34 510 Kč</w:t>
            </w:r>
          </w:p>
        </w:tc>
        <w:tc>
          <w:tcPr>
            <w:tcW w:w="1000" w:type="dxa"/>
          </w:tcPr>
          <w:p>
            <w:pPr>
              <w:jc w:val="center"/>
            </w:pPr>
            <w:r>
              <w:rPr/>
              <w:t xml:space="preserve">58 620 Kč</w:t>
            </w:r>
          </w:p>
        </w:tc>
        <w:tc>
          <w:tcPr>
            <w:tcW w:w="1000" w:type="dxa"/>
          </w:tcPr>
          <w:p>
            <w:pPr>
              <w:jc w:val="center"/>
            </w:pPr>
            <w:r>
              <w:rPr/>
              <w:t xml:space="preserve">24 133 Kč</w:t>
            </w:r>
          </w:p>
        </w:tc>
        <w:tc>
          <w:tcPr>
            <w:tcW w:w="1000" w:type="dxa"/>
          </w:tcPr>
          <w:p>
            <w:pPr>
              <w:jc w:val="center"/>
            </w:pPr>
            <w:r>
              <w:rPr/>
              <w:t xml:space="preserve">29 119 Kč</w:t>
            </w:r>
          </w:p>
        </w:tc>
        <w:tc>
          <w:tcPr>
            <w:tcW w:w="1000" w:type="dxa"/>
          </w:tcPr>
          <w:p>
            <w:pPr>
              <w:jc w:val="center"/>
            </w:pPr>
            <w:r>
              <w:rPr/>
              <w:t xml:space="preserve">39 000 Kč</w:t>
            </w:r>
          </w:p>
        </w:tc>
      </w:tr>
      <w:tr>
        <w:trPr/>
        <w:tc>
          <w:tcPr>
            <w:tcW w:w="2000" w:type="dxa"/>
          </w:tcPr>
          <w:p>
            <w:pPr/>
            <w:r>
              <w:rPr/>
              <w:t xml:space="preserve">Moravskoslezský kraj</w:t>
            </w:r>
          </w:p>
        </w:tc>
        <w:tc>
          <w:tcPr>
            <w:tcW w:w="1000" w:type="dxa"/>
          </w:tcPr>
          <w:p>
            <w:pPr>
              <w:jc w:val="center"/>
            </w:pPr>
            <w:r>
              <w:rPr/>
              <w:t xml:space="preserve">17 692 Kč</w:t>
            </w:r>
          </w:p>
        </w:tc>
        <w:tc>
          <w:tcPr>
            <w:tcW w:w="1000" w:type="dxa"/>
          </w:tcPr>
          <w:p>
            <w:pPr>
              <w:jc w:val="center"/>
            </w:pPr>
            <w:r>
              <w:rPr/>
              <w:t xml:space="preserve">36 147 Kč</w:t>
            </w:r>
          </w:p>
        </w:tc>
        <w:tc>
          <w:tcPr>
            <w:tcW w:w="1000" w:type="dxa"/>
          </w:tcPr>
          <w:p>
            <w:pPr>
              <w:jc w:val="center"/>
            </w:pPr>
            <w:r>
              <w:rPr/>
              <w:t xml:space="preserve">53 772 Kč</w:t>
            </w:r>
          </w:p>
        </w:tc>
        <w:tc>
          <w:tcPr>
            <w:tcW w:w="1000" w:type="dxa"/>
          </w:tcPr>
          <w:p>
            <w:pPr>
              <w:jc w:val="center"/>
            </w:pPr>
            <w:r>
              <w:rPr/>
              <w:t xml:space="preserve">30 519 Kč</w:t>
            </w:r>
          </w:p>
        </w:tc>
        <w:tc>
          <w:tcPr>
            <w:tcW w:w="1000" w:type="dxa"/>
          </w:tcPr>
          <w:p>
            <w:pPr>
              <w:jc w:val="center"/>
            </w:pPr>
            <w:r>
              <w:rPr/>
              <w:t xml:space="preserve">38 417 Kč</w:t>
            </w:r>
          </w:p>
        </w:tc>
        <w:tc>
          <w:tcPr>
            <w:tcW w:w="1000" w:type="dxa"/>
          </w:tcPr>
          <w:p>
            <w:pPr>
              <w:jc w:val="center"/>
            </w:pPr>
            <w:r>
              <w:rPr/>
              <w:t xml:space="preserve">44 311 Kč</w:t>
            </w:r>
          </w:p>
        </w:tc>
      </w:tr>
    </w:tbl>
    <w:p/>
    <w:p>
      <w:pPr>
        <w:pStyle w:val="Heading3"/>
      </w:pPr>
      <w:bookmarkStart w:id="6" w:name="_Toc6"/>
      <w:r>
        <w:t>Hrubé měsíční mzdy v roce 2020 celkem</w:t>
      </w:r>
      <w:bookmarkEnd w:id="6"/>
    </w:p>
    <w:tbl>
      <w:tblGrid>
        <w:gridCol w:w="1000" w:type="dxa"/>
        <w:gridCol w:w="2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gridSpan w:val="2"/>
          </w:tcPr>
          <w:p/>
        </w:tc>
        <w:tc>
          <w:tcPr>
            <w:tcW w:w="6000" w:type="dxa"/>
            <w:gridSpan w:val="2"/>
          </w:tcPr>
          <w:p>
            <w:pPr>
              <w:jc w:val="center"/>
            </w:pPr>
            <w:r>
              <w:rPr>
                <w:b w:val="1"/>
                <w:bCs w:val="1"/>
              </w:rPr>
              <w:t xml:space="preserve">Medián za ČR celkem</w:t>
            </w:r>
          </w:p>
        </w:tc>
      </w:tr>
      <w:tr>
        <w:trPr/>
        <w:tc>
          <w:tcPr>
            <w:tcW w:w="1000" w:type="dxa"/>
          </w:tcPr>
          <w:p>
            <w:pPr/>
            <w:r>
              <w:rPr>
                <w:b w:val="1"/>
                <w:bCs w:val="1"/>
              </w:rPr>
              <w:t xml:space="preserve">CZ-ISCO</w:t>
            </w:r>
          </w:p>
        </w:tc>
        <w:tc>
          <w:tcPr>
            <w:tcW w:w="2000" w:type="dxa"/>
          </w:tcPr>
          <w:p/>
        </w:tc>
        <w:tc>
          <w:tcPr>
            <w:tcW w:w="3000" w:type="dxa"/>
          </w:tcPr>
          <w:p>
            <w:pPr>
              <w:jc w:val="center"/>
            </w:pPr>
            <w:r>
              <w:rPr>
                <w:b w:val="1"/>
                <w:bCs w:val="1"/>
              </w:rPr>
              <w:t xml:space="preserve">Mzdová sféra</w:t>
            </w:r>
          </w:p>
        </w:tc>
        <w:tc>
          <w:tcPr>
            <w:tcW w:w="3000" w:type="dxa"/>
          </w:tcPr>
          <w:p>
            <w:pPr>
              <w:jc w:val="center"/>
            </w:pPr>
            <w:r>
              <w:rPr>
                <w:b w:val="1"/>
                <w:bCs w:val="1"/>
              </w:rPr>
              <w:t xml:space="preserve">Platová sféra</w:t>
            </w:r>
          </w:p>
        </w:tc>
      </w:tr>
      <w:tr>
        <w:trPr/>
        <w:tc>
          <w:tcPr>
            <w:tcW w:w="1000" w:type="dxa"/>
          </w:tcPr>
          <w:p>
            <w:pPr>
              <w:jc w:val="center"/>
            </w:pPr>
            <w:r>
              <w:rPr/>
              <w:t xml:space="preserve">3119</w:t>
            </w:r>
          </w:p>
        </w:tc>
        <w:tc>
          <w:tcPr>
            <w:tcW w:w="2000" w:type="dxa"/>
          </w:tcPr>
          <w:p>
            <w:pPr/>
            <w:r>
              <w:rPr/>
              <w:t xml:space="preserve">Technici v ostatních průmyslových oborech</w:t>
            </w:r>
          </w:p>
        </w:tc>
        <w:tc>
          <w:tcPr>
            <w:tcW w:w="1000" w:type="dxa"/>
          </w:tcPr>
          <w:p>
            <w:pPr>
              <w:jc w:val="center"/>
            </w:pPr>
            <w:r>
              <w:rPr/>
              <w:t xml:space="preserve">35 814 Kč</w:t>
            </w:r>
          </w:p>
        </w:tc>
        <w:tc>
          <w:tcPr>
            <w:tcW w:w="1000" w:type="dxa"/>
          </w:tcPr>
          <w:p>
            <w:pPr>
              <w:jc w:val="center"/>
            </w:pPr>
            <w:r>
              <w:rPr/>
              <w:t xml:space="preserve">37 991 Kč</w:t>
            </w:r>
          </w:p>
        </w:tc>
      </w:tr>
      <w:tr>
        <w:trPr/>
        <w:tc>
          <w:tcPr>
            <w:tcW w:w="1000" w:type="dxa"/>
          </w:tcPr>
          <w:p>
            <w:pPr>
              <w:jc w:val="center"/>
            </w:pPr>
            <w:r>
              <w:rPr/>
              <w:t xml:space="preserve">31198</w:t>
            </w:r>
          </w:p>
        </w:tc>
        <w:tc>
          <w:tcPr>
            <w:tcW w:w="2000" w:type="dxa"/>
          </w:tcPr>
          <w:p>
            <w:pPr/>
            <w:r>
              <w:rPr/>
              <w:t xml:space="preserve">Technici bezpečnosti práce a ochrany zdraví, racionalizace výroby, ergonomických studií</w:t>
            </w:r>
          </w:p>
        </w:tc>
        <w:tc>
          <w:tcPr>
            <w:tcW w:w="1000" w:type="dxa"/>
          </w:tcPr>
          <w:p>
            <w:pPr>
              <w:jc w:val="center"/>
            </w:pPr>
            <w:r>
              <w:rPr/>
              <w:t xml:space="preserve">33 124 Kč</w:t>
            </w:r>
          </w:p>
        </w:tc>
        <w:tc>
          <w:tcPr>
            <w:tcW w:w="1000" w:type="dxa"/>
          </w:tcPr>
          <w:p>
            <w:pPr>
              <w:jc w:val="center"/>
            </w:pPr>
            <w:r>
              <w:rPr/>
              <w:t xml:space="preserve">38 180 Kč</w:t>
            </w:r>
          </w:p>
        </w:tc>
      </w:tr>
    </w:tbl>
    <w:p/>
    <w:p>
      <w:pPr>
        <w:pStyle w:val="Heading2"/>
      </w:pPr>
      <w:bookmarkStart w:id="7" w:name="_Toc7"/>
      <w:r>
        <w:t>ESCO</w:t>
      </w:r>
      <w:bookmarkEnd w:id="7"/>
    </w:p>
    <w:tbl>
      <w:tblGrid>
        <w:gridCol w:w="3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jc w:val="center"/>
            </w:pPr>
            <w:r>
              <w:rPr>
                <w:b w:val="1"/>
                <w:bCs w:val="1"/>
              </w:rPr>
              <w:t xml:space="preserve">Kód podskupiny</w:t>
            </w:r>
          </w:p>
        </w:tc>
        <w:tc>
          <w:tcPr>
            <w:tcW w:w="3000" w:type="dxa"/>
          </w:tcPr>
          <w:p>
            <w:pPr>
              <w:jc w:val="center"/>
            </w:pPr>
            <w:r>
              <w:rPr>
                <w:b w:val="1"/>
                <w:bCs w:val="1"/>
              </w:rPr>
              <w:t xml:space="preserve">Název podskupiny v ESCO</w:t>
            </w:r>
          </w:p>
        </w:tc>
        <w:tc>
          <w:tcPr>
            <w:tcW w:w="3000" w:type="dxa"/>
          </w:tcPr>
          <w:p>
            <w:pPr>
              <w:jc w:val="center"/>
            </w:pPr>
            <w:r>
              <w:rPr>
                <w:b w:val="1"/>
                <w:bCs w:val="1"/>
              </w:rPr>
              <w:t xml:space="preserve">URL - podskupiny v ESCO</w:t>
            </w:r>
          </w:p>
        </w:tc>
      </w:tr>
      <w:tr>
        <w:trPr/>
        <w:tc>
          <w:tcPr>
            <w:tcW w:w="3000" w:type="dxa"/>
          </w:tcPr>
          <w:p>
            <w:pPr/>
            <w:r>
              <w:rPr/>
              <w:t xml:space="preserve">3119</w:t>
            </w:r>
          </w:p>
        </w:tc>
        <w:tc>
          <w:tcPr>
            <w:tcW w:w="3000" w:type="dxa"/>
          </w:tcPr>
          <w:p>
            <w:pPr/>
            <w:r>
              <w:rPr/>
              <w:t xml:space="preserve">Technici ve fyzikálních a příbuzných oborech jinde neuvedení</w:t>
            </w:r>
          </w:p>
        </w:tc>
        <w:tc>
          <w:tcPr>
            <w:tcW w:w="3000" w:type="dxa"/>
          </w:tcPr>
          <w:p>
            <w:pPr/>
            <w:r>
              <w:rPr/>
              <w:t xml:space="preserve">http://data.europa.eu/esco/isco/C3119</w:t>
            </w:r>
          </w:p>
        </w:tc>
      </w:tr>
    </w:tbl>
    <w:p/>
    <w:p/>
    <w:p/>
    <w:p>
      <w:pPr>
        <w:pStyle w:val="Heading2"/>
      </w:pPr>
      <w:bookmarkStart w:id="8" w:name="_Toc8"/>
      <w:r>
        <w:t>Pracovní podmínky</w:t>
      </w:r>
      <w:bookmarkEnd w:id="8"/>
    </w:p>
    <w:tbl>
      <w:tblGrid>
        <w:gridCol w:w="5000" w:type="dxa"/>
        <w:gridCol w:w="1000" w:type="dxa"/>
        <w:gridCol w:w="1000" w:type="dxa"/>
        <w:gridCol w:w="1000" w:type="dxa"/>
        <w:gridCol w:w="1000" w:type="dxa"/>
      </w:tblGrid>
      <w:tblPr>
        <w:jc w:val="start"/>
        <w:tblW w:w="0" w:type="auto"/>
        <w:tblCellSpacing w:w="50" w:type="dxa"/>
        <w:tblLayout w:type="autofit"/>
        <w:bidiVisual w:val="0"/>
        <w:tblCellMar>
          <w:top w:w="80" w:type="dxa"/>
          <w:left w:w="80" w:type="dxa"/>
          <w:right w:w="80" w:type="dxa"/>
          <w:bottom w:w="80" w:type="dxa"/>
        </w:tblCellMar>
      </w:tblPr>
      <w:tr>
        <w:trPr/>
        <w:tc>
          <w:tcPr>
            <w:tcW w:w="5000" w:type="dxa"/>
          </w:tcPr>
          <w:p>
            <w:pPr>
              <w:jc w:val="center"/>
            </w:pPr>
            <w:r>
              <w:rPr>
                <w:b w:val="1"/>
                <w:bCs w:val="1"/>
              </w:rPr>
              <w:t xml:space="preserve">Název</w:t>
            </w:r>
          </w:p>
        </w:tc>
        <w:tc>
          <w:tcPr>
            <w:tcW w:w="1000" w:type="dxa"/>
          </w:tcPr>
          <w:p>
            <w:pPr>
              <w:jc w:val="center"/>
            </w:pPr>
            <w:r>
              <w:rPr>
                <w:b w:val="1"/>
                <w:bCs w:val="1"/>
              </w:rPr>
              <w:t xml:space="preserve">1</w:t>
            </w:r>
          </w:p>
        </w:tc>
        <w:tc>
          <w:tcPr>
            <w:tcW w:w="1000" w:type="dxa"/>
          </w:tcPr>
          <w:p>
            <w:pPr>
              <w:jc w:val="center"/>
            </w:pPr>
            <w:r>
              <w:rPr>
                <w:b w:val="1"/>
                <w:bCs w:val="1"/>
              </w:rPr>
              <w:t xml:space="preserve">2</w:t>
            </w:r>
          </w:p>
        </w:tc>
        <w:tc>
          <w:tcPr>
            <w:tcW w:w="1000" w:type="dxa"/>
          </w:tcPr>
          <w:p>
            <w:pPr>
              <w:jc w:val="center"/>
            </w:pPr>
            <w:r>
              <w:rPr>
                <w:b w:val="1"/>
                <w:bCs w:val="1"/>
              </w:rPr>
              <w:t xml:space="preserve">3</w:t>
            </w:r>
          </w:p>
        </w:tc>
        <w:tc>
          <w:tcPr>
            <w:tcW w:w="1000" w:type="dxa"/>
          </w:tcPr>
          <w:p>
            <w:pPr>
              <w:jc w:val="center"/>
            </w:pPr>
            <w:r>
              <w:rPr>
                <w:b w:val="1"/>
                <w:bCs w:val="1"/>
              </w:rPr>
              <w:t xml:space="preserve">4</w:t>
            </w:r>
          </w:p>
        </w:tc>
      </w:tr>
      <w:tr>
        <w:trPr/>
        <w:tc>
          <w:tcPr>
            <w:tcW w:w="5000" w:type="dxa"/>
          </w:tcPr>
          <w:p>
            <w:pPr/>
            <w:r>
              <w:rPr/>
              <w:t xml:space="preserve">Zátěž chemickými látkami</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Duševní zátěž</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obecného ohrožení</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teplem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chladem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hlukem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vibracemi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prachem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invazivními alergeny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biologickými činiteli způsobujícími onemocnění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ionizujícím zářením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neionizujícím zářením a elektromagnetickým polem včetně laserů</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Zraková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Celková fyzická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trupu a páteře s převahou statické práce (manipulace s břemeny)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 zátěž malých svalových skupin</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jemné motoriky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omezeném nebo uzavřeném prostoru</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nevhodných pracovních polohách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Práce ve výškách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úrazu pracovníka</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Pracovní doba, směnnost</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bl>
    <w:p/>
    <w:p>
      <w:pPr/>
      <w:r>
        <w:rPr>
          <w:sz w:val="16"/>
          <w:szCs w:val="16"/>
          <w:i w:val="1"/>
          <w:iCs w:val="1"/>
        </w:rPr>
        <w:t xml:space="preserve">Legenda:</w:t>
      </w:r>
    </w:p>
    <w:p>
      <w:pPr>
        <w:numPr>
          <w:ilvl w:val="0"/>
          <w:numId w:val="5"/>
        </w:numPr>
      </w:pPr>
      <w:r>
        <w:rPr>
          <w:sz w:val="16"/>
          <w:szCs w:val="16"/>
          <w:i w:val="1"/>
          <w:iCs w:val="1"/>
        </w:rPr>
        <w:t xml:space="preserve">1. Stupeň zátěže (minimální zdravotní riziko) - Faktor se při výkonu práce nevyskytuje nebo je zátěž faktorem minimální, vliv faktoru je ze zdravotního hlediska nevýznamný.</w:t>
      </w:r>
    </w:p>
    <w:p>
      <w:pPr>
        <w:numPr>
          <w:ilvl w:val="0"/>
          <w:numId w:val="5"/>
        </w:numPr>
      </w:pPr>
      <w:r>
        <w:rPr>
          <w:sz w:val="16"/>
          <w:szCs w:val="16"/>
          <w:i w:val="1"/>
          <w:iCs w:val="1"/>
        </w:rPr>
        <w:t xml:space="preserve">2. Stupeň zátěže (únosná míra zdravotního rizika) - Ze zdravotního hlediska je míra zátěže faktorem únosná, nepřekračuje limity stanovené předpisy, vliv faktoru je akceptovatelný pro zdravého člověka.</w:t>
      </w:r>
    </w:p>
    <w:p>
      <w:pPr>
        <w:numPr>
          <w:ilvl w:val="0"/>
          <w:numId w:val="5"/>
        </w:numPr>
      </w:pPr>
      <w:r>
        <w:rPr>
          <w:sz w:val="16"/>
          <w:szCs w:val="16"/>
          <w:i w:val="1"/>
          <w:iCs w:val="1"/>
        </w:rPr>
        <w:t xml:space="preserve">3. Stupeň zátěže (významná míra zdravotního rizika) - Úroveň zátěže překračuje stanovené limitní hodnoty expozice (zátěže), na pracovištích je nutná realizace náhradních technických a organizačních opatření, nelze vyloučit negativní vliv na zdraví pracovníků.</w:t>
      </w:r>
    </w:p>
    <w:p>
      <w:pPr>
        <w:numPr>
          <w:ilvl w:val="0"/>
          <w:numId w:val="5"/>
        </w:numPr>
      </w:pPr>
      <w:r>
        <w:rPr>
          <w:sz w:val="16"/>
          <w:szCs w:val="16"/>
          <w:i w:val="1"/>
          <w:iCs w:val="1"/>
        </w:rPr>
        <w:t xml:space="preserve">4. Stupeň zátěže (vysoká míra zdravotního rizika) - Úroveň zátěže vysoce překračuje stanovené limitní hodnoty expozice, na pracovištích musí být dodržován soubor preventivních opatření, častěji dochází k poškození zdraví.</w:t>
      </w:r>
    </w:p>
    <w:p/>
    <w:p/>
    <w:p>
      <w:pPr>
        <w:pStyle w:val="Heading2"/>
      </w:pPr>
      <w:bookmarkStart w:id="9" w:name="_Toc9"/>
      <w:r>
        <w:t>Kvalifikace k výkonu povolání</w:t>
      </w:r>
      <w:bookmarkEnd w:id="9"/>
    </w:p>
    <w:p>
      <w:pPr>
        <w:pStyle w:val="Heading3"/>
      </w:pPr>
      <w:bookmarkStart w:id="10" w:name="_Toc10"/>
      <w:r>
        <w:t>Školní vzdělání</w:t>
      </w:r>
      <w:bookmarkEnd w:id="10"/>
    </w:p>
    <w:p/>
    <w:p>
      <w:pPr>
        <w:pStyle w:val="Heading4"/>
      </w:pPr>
      <w:bookmarkStart w:id="11" w:name="_Toc11"/>
      <w:r>
        <w:t>Nejvhodnější školní přípravu poskytují obory:</w:t>
      </w:r>
      <w:bookmarkEnd w:id="11"/>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Střední vzdělání s maturitní zkouškou (bez vyučení) v oboru průmyslová chemie</w:t>
            </w:r>
          </w:p>
        </w:tc>
        <w:tc>
          <w:tcPr>
            <w:tcW w:w="2000" w:type="dxa"/>
          </w:tcPr>
          <w:p>
            <w:pPr>
              <w:jc w:val="center"/>
            </w:pPr>
            <w:r>
              <w:rPr/>
              <w:t xml:space="preserve">2842M</w:t>
            </w:r>
          </w:p>
        </w:tc>
      </w:tr>
      <w:tr>
        <w:trPr/>
        <w:tc>
          <w:tcPr>
            <w:tcW w:w="2000" w:type="dxa"/>
          </w:tcPr>
          <w:p>
            <w:pPr>
              <w:jc w:val="center"/>
            </w:pPr>
            <w:r>
              <w:rPr/>
              <w:t xml:space="preserve">KKOV</w:t>
            </w:r>
          </w:p>
        </w:tc>
        <w:tc>
          <w:tcPr>
            <w:tcW w:w="5000" w:type="dxa"/>
          </w:tcPr>
          <w:p>
            <w:pPr/>
            <w:r>
              <w:rPr/>
              <w:t xml:space="preserve">Střední vzdělání s maturitní zkouškou (bez vyučení) v oboru aplikovaná chemie</w:t>
            </w:r>
          </w:p>
        </w:tc>
        <w:tc>
          <w:tcPr>
            <w:tcW w:w="2000" w:type="dxa"/>
          </w:tcPr>
          <w:p>
            <w:pPr>
              <w:jc w:val="center"/>
            </w:pPr>
            <w:r>
              <w:rPr/>
              <w:t xml:space="preserve">2844M</w:t>
            </w:r>
          </w:p>
        </w:tc>
      </w:tr>
      <w:tr>
        <w:trPr/>
        <w:tc>
          <w:tcPr>
            <w:tcW w:w="2000" w:type="dxa"/>
          </w:tcPr>
          <w:p>
            <w:pPr>
              <w:jc w:val="center"/>
            </w:pPr>
            <w:r>
              <w:rPr/>
              <w:t xml:space="preserve">KKOV</w:t>
            </w:r>
          </w:p>
        </w:tc>
        <w:tc>
          <w:tcPr>
            <w:tcW w:w="5000" w:type="dxa"/>
          </w:tcPr>
          <w:p>
            <w:pPr/>
            <w:r>
              <w:rPr/>
              <w:t xml:space="preserve">Střední vzdělání s maturitní zkouškou (bez vyučení) ve skupině oborů technická chemie a chemie silikátů</w:t>
            </w:r>
          </w:p>
        </w:tc>
        <w:tc>
          <w:tcPr>
            <w:tcW w:w="2000" w:type="dxa"/>
          </w:tcPr>
          <w:p>
            <w:pPr>
              <w:jc w:val="center"/>
            </w:pPr>
            <w:r>
              <w:rPr/>
              <w:t xml:space="preserve">28xxM</w:t>
            </w:r>
          </w:p>
        </w:tc>
      </w:tr>
      <w:tr>
        <w:trPr/>
        <w:tc>
          <w:tcPr>
            <w:tcW w:w="2000" w:type="dxa"/>
          </w:tcPr>
          <w:p>
            <w:pPr>
              <w:jc w:val="center"/>
            </w:pPr>
            <w:r>
              <w:rPr/>
              <w:t xml:space="preserve">KKOV</w:t>
            </w:r>
          </w:p>
        </w:tc>
        <w:tc>
          <w:tcPr>
            <w:tcW w:w="5000" w:type="dxa"/>
          </w:tcPr>
          <w:p>
            <w:pPr/>
            <w:r>
              <w:rPr/>
              <w:t xml:space="preserve">Střední vzdělání s maturitní zkouškou v oboru průmyslová chemie</w:t>
            </w:r>
          </w:p>
        </w:tc>
        <w:tc>
          <w:tcPr>
            <w:tcW w:w="2000" w:type="dxa"/>
          </w:tcPr>
          <w:p>
            <w:pPr>
              <w:jc w:val="center"/>
            </w:pPr>
            <w:r>
              <w:rPr/>
              <w:t xml:space="preserve">2842L</w:t>
            </w:r>
          </w:p>
        </w:tc>
      </w:tr>
      <w:tr>
        <w:trPr/>
        <w:tc>
          <w:tcPr>
            <w:tcW w:w="2000" w:type="dxa"/>
          </w:tcPr>
          <w:p>
            <w:pPr>
              <w:jc w:val="center"/>
            </w:pPr>
            <w:r>
              <w:rPr/>
              <w:t xml:space="preserve">RVP</w:t>
            </w:r>
          </w:p>
        </w:tc>
        <w:tc>
          <w:tcPr>
            <w:tcW w:w="5000" w:type="dxa"/>
          </w:tcPr>
          <w:p>
            <w:pPr/>
            <w:r>
              <w:rPr/>
              <w:t xml:space="preserve">Aplikovaná chemie</w:t>
            </w:r>
          </w:p>
        </w:tc>
        <w:tc>
          <w:tcPr>
            <w:tcW w:w="2000" w:type="dxa"/>
          </w:tcPr>
          <w:p>
            <w:pPr>
              <w:jc w:val="center"/>
            </w:pPr>
            <w:r>
              <w:rPr/>
              <w:t xml:space="preserve">28-44-M/01</w:t>
            </w:r>
          </w:p>
        </w:tc>
      </w:tr>
      <w:tr>
        <w:trPr/>
        <w:tc>
          <w:tcPr>
            <w:tcW w:w="2000" w:type="dxa"/>
          </w:tcPr>
          <w:p>
            <w:pPr>
              <w:jc w:val="center"/>
            </w:pPr>
            <w:r>
              <w:rPr/>
              <w:t xml:space="preserve">RVP</w:t>
            </w:r>
          </w:p>
        </w:tc>
        <w:tc>
          <w:tcPr>
            <w:tcW w:w="5000" w:type="dxa"/>
          </w:tcPr>
          <w:p>
            <w:pPr/>
            <w:r>
              <w:rPr/>
              <w:t xml:space="preserve">Chemik operátor</w:t>
            </w:r>
          </w:p>
        </w:tc>
        <w:tc>
          <w:tcPr>
            <w:tcW w:w="2000" w:type="dxa"/>
          </w:tcPr>
          <w:p>
            <w:pPr>
              <w:jc w:val="center"/>
            </w:pPr>
            <w:r>
              <w:rPr/>
              <w:t xml:space="preserve">28-42-L/01</w:t>
            </w:r>
          </w:p>
        </w:tc>
      </w:tr>
    </w:tbl>
    <w:p/>
    <w:p>
      <w:pPr>
        <w:pStyle w:val="Heading4"/>
      </w:pPr>
      <w:bookmarkStart w:id="12" w:name="_Toc12"/>
      <w:r>
        <w:t>Vhodnou školní přípravu poskytují také obory:</w:t>
      </w:r>
      <w:bookmarkEnd w:id="12"/>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Střední vzdělání s maturitní zkouškou (bez vyučení) v oboru požární ochrana a průmyslová bezpečnost</w:t>
            </w:r>
          </w:p>
        </w:tc>
        <w:tc>
          <w:tcPr>
            <w:tcW w:w="2000" w:type="dxa"/>
          </w:tcPr>
          <w:p>
            <w:pPr>
              <w:jc w:val="center"/>
            </w:pPr>
            <w:r>
              <w:rPr/>
              <w:t xml:space="preserve">3908M</w:t>
            </w:r>
          </w:p>
        </w:tc>
      </w:tr>
      <w:tr>
        <w:trPr/>
        <w:tc>
          <w:tcPr>
            <w:tcW w:w="2000" w:type="dxa"/>
          </w:tcPr>
          <w:p>
            <w:pPr>
              <w:jc w:val="center"/>
            </w:pPr>
            <w:r>
              <w:rPr/>
              <w:t xml:space="preserve">RVP</w:t>
            </w:r>
          </w:p>
        </w:tc>
        <w:tc>
          <w:tcPr>
            <w:tcW w:w="5000" w:type="dxa"/>
          </w:tcPr>
          <w:p>
            <w:pPr/>
            <w:r>
              <w:rPr/>
              <w:t xml:space="preserve">Chemik operátor</w:t>
            </w:r>
          </w:p>
        </w:tc>
        <w:tc>
          <w:tcPr>
            <w:tcW w:w="2000" w:type="dxa"/>
          </w:tcPr>
          <w:p>
            <w:pPr>
              <w:jc w:val="center"/>
            </w:pPr>
            <w:r>
              <w:rPr/>
              <w:t xml:space="preserve">28-42-L/51</w:t>
            </w:r>
          </w:p>
        </w:tc>
      </w:tr>
    </w:tbl>
    <w:p>
      <w:pPr>
        <w:pStyle w:val="Heading3"/>
      </w:pPr>
      <w:bookmarkStart w:id="13" w:name="_Toc13"/>
      <w:r>
        <w:t>Legislativní požadavky</w:t>
      </w:r>
      <w:bookmarkEnd w:id="13"/>
    </w:p>
    <w:p>
      <w:pPr>
        <w:numPr>
          <w:ilvl w:val="0"/>
          <w:numId w:val="5"/>
        </w:numPr>
      </w:pPr>
      <w:r>
        <w:rPr/>
        <w:t xml:space="preserve">doporučené - Řízení osobních automobilů - řidičský průkaz sk. B podle vyhlášky č. 31/2001 Sb., o řidičských průkazech a o registru řidičů</w:t>
      </w:r>
    </w:p>
    <w:p>
      <w:pPr>
        <w:numPr>
          <w:ilvl w:val="0"/>
          <w:numId w:val="5"/>
        </w:numPr>
      </w:pPr>
      <w:r>
        <w:rPr/>
        <w:t xml:space="preserve">doporučené - Odborná způsobilost podle zákona č. 350/2011 Sb., o chemických látkách a chemických směsích a o změně některých zákonů</w:t>
      </w:r>
    </w:p>
    <w:p/>
    <w:p/>
    <w:p>
      <w:pPr>
        <w:pStyle w:val="Heading2"/>
      </w:pPr>
      <w:bookmarkStart w:id="14" w:name="_Toc14"/>
      <w:r>
        <w:t>Kompetenční požadavky</w:t>
      </w:r>
      <w:bookmarkEnd w:id="14"/>
    </w:p>
    <w:p>
      <w:pPr>
        <w:pStyle w:val="Heading3"/>
      </w:pPr>
      <w:bookmarkStart w:id="15" w:name="_Toc15"/>
      <w:r>
        <w:t>Odborné dovednosti</w:t>
      </w:r>
      <w:bookmarkEnd w:id="15"/>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e52.C.2003</w:t>
            </w:r>
          </w:p>
        </w:tc>
        <w:tc>
          <w:tcPr>
            <w:tcW w:w="3000" w:type="dxa"/>
          </w:tcPr>
          <w:p>
            <w:pPr/>
            <w:r>
              <w:rPr/>
              <w:t xml:space="preserve">Zabezpečování (popř. osobní provádění) školení obsluh technických zařízení a strojů v chemické výrobě</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e52.D.1002</w:t>
            </w:r>
          </w:p>
        </w:tc>
        <w:tc>
          <w:tcPr>
            <w:tcW w:w="3000" w:type="dxa"/>
          </w:tcPr>
          <w:p>
            <w:pPr/>
            <w:r>
              <w:rPr/>
              <w:t xml:space="preserve">Orientace ve správném nakládání s nebezpečnými látkami a směsmi v chemickém provozu</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l24.Z.2131</w:t>
            </w:r>
          </w:p>
        </w:tc>
        <w:tc>
          <w:tcPr>
            <w:tcW w:w="3000" w:type="dxa"/>
          </w:tcPr>
          <w:p>
            <w:pPr/>
            <w:r>
              <w:rPr/>
              <w:t xml:space="preserve">Řízení, kontrola a zabezpečování dodržování pracovní a technologické kázně, předpisů a zásad BOZP, prevence úrazů, hygieny práce, požární prevence a plnění úkolů ve stanovených technických a ekonomických parametrech ve svěřeném úseku chemické výroby</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e52.D.8023</w:t>
            </w:r>
          </w:p>
        </w:tc>
        <w:tc>
          <w:tcPr>
            <w:tcW w:w="3000" w:type="dxa"/>
          </w:tcPr>
          <w:p>
            <w:pPr/>
            <w:r>
              <w:rPr/>
              <w:t xml:space="preserve">Vypracovávání protokolů a jiných dokumentů o výsledcích kontrol v chemické výrobě a jejich evidence</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e52.D.1003</w:t>
            </w:r>
          </w:p>
        </w:tc>
        <w:tc>
          <w:tcPr>
            <w:tcW w:w="3000" w:type="dxa"/>
          </w:tcPr>
          <w:p>
            <w:pPr/>
            <w:r>
              <w:rPr/>
              <w:t xml:space="preserve">Orientace v normách, v provozní, technické a technologické dokumentaci a instrukcích pro obsluhu a řízení technologických procesů v chemické výrobě, v různých odvětvích zpracovatelského průmyslu chemického charakteru a v různých typech chemických laboratoří</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l24.C.2011</w:t>
            </w:r>
          </w:p>
        </w:tc>
        <w:tc>
          <w:tcPr>
            <w:tcW w:w="3000" w:type="dxa"/>
          </w:tcPr>
          <w:p>
            <w:pPr/>
            <w:r>
              <w:rPr/>
              <w:t xml:space="preserve">Zajišťování školení zaměstnanců organizace a cizích pracovníků, kteří se zdržují na jejích pracovištích o bezpečnostních a hygienických předpisech</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l24.C.2012</w:t>
            </w:r>
          </w:p>
        </w:tc>
        <w:tc>
          <w:tcPr>
            <w:tcW w:w="3000" w:type="dxa"/>
          </w:tcPr>
          <w:p>
            <w:pPr/>
            <w:r>
              <w:rPr/>
              <w:t xml:space="preserve">Zajišťování spolupráce s Policií ČR, orgány státního dozoru a odborovými orgány při vyšetřování pracovních úrazů a mimořádných událostí</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l24.C.2013</w:t>
            </w:r>
          </w:p>
        </w:tc>
        <w:tc>
          <w:tcPr>
            <w:tcW w:w="3000" w:type="dxa"/>
          </w:tcPr>
          <w:p>
            <w:pPr/>
            <w:r>
              <w:rPr/>
              <w:t xml:space="preserve">Zajišťování spolupráce s odborovými orgány v oblasti bezpečnosti a ochrany zdraví při práci a hygieny práce</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l24.C.6013</w:t>
            </w:r>
          </w:p>
        </w:tc>
        <w:tc>
          <w:tcPr>
            <w:tcW w:w="3000" w:type="dxa"/>
          </w:tcPr>
          <w:p>
            <w:pPr/>
            <w:r>
              <w:rPr/>
              <w:t xml:space="preserve">Příprava školení, provádění školení a přezkušování zaměstnanců organizace a dalších osob v oblasti bezpečnosti a ochrany zdraví při práci, hygieny práce, zdravotní nezávadnosti pracovního a životního prostředí a požární prevence</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l24.D.1990</w:t>
            </w:r>
          </w:p>
        </w:tc>
        <w:tc>
          <w:tcPr>
            <w:tcW w:w="3000" w:type="dxa"/>
          </w:tcPr>
          <w:p>
            <w:pPr/>
            <w:r>
              <w:rPr/>
              <w:t xml:space="preserve">Orientace v základních právních předpisech a technických normách v oblasti BOZP</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l24.D.8015</w:t>
            </w:r>
          </w:p>
        </w:tc>
        <w:tc>
          <w:tcPr>
            <w:tcW w:w="3000" w:type="dxa"/>
          </w:tcPr>
          <w:p>
            <w:pPr/>
            <w:r>
              <w:rPr/>
              <w:t xml:space="preserve">Vedení a zpracování dokumentace stanovené příslušnými legislativními předpisy v souvislosti s BOZP, hygienou práce a pracovnělékařskými službami</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l24.D.8030</w:t>
            </w:r>
          </w:p>
        </w:tc>
        <w:tc>
          <w:tcPr>
            <w:tcW w:w="3000" w:type="dxa"/>
          </w:tcPr>
          <w:p>
            <w:pPr/>
            <w:r>
              <w:rPr/>
              <w:t xml:space="preserve">Zařazování prací do kategorií pro konkrétní pracoviště zaměstnavatele ve spolupráci s orgánem ochrany veřejného zdraví</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l24.Z.2014</w:t>
            </w:r>
          </w:p>
        </w:tc>
        <w:tc>
          <w:tcPr>
            <w:tcW w:w="3000" w:type="dxa"/>
          </w:tcPr>
          <w:p>
            <w:pPr/>
            <w:r>
              <w:rPr/>
              <w:t xml:space="preserve">Vydávání závazných pokynů k zajištění bezpečné práce zaměstnancům a pracovníkům dodavatelských organizací</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l24.Z.2132</w:t>
            </w:r>
          </w:p>
        </w:tc>
        <w:tc>
          <w:tcPr>
            <w:tcW w:w="3000" w:type="dxa"/>
          </w:tcPr>
          <w:p>
            <w:pPr/>
            <w:r>
              <w:rPr/>
              <w:t xml:space="preserve">Zajištění BOZP při řešení krizových situací, zajišťování likvidace poruchových nebo havarijních stavů chemické výroby nebo provozu a provádění opatření při těchto stavech</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j22.D.8233</w:t>
            </w:r>
          </w:p>
        </w:tc>
        <w:tc>
          <w:tcPr>
            <w:tcW w:w="3000" w:type="dxa"/>
          </w:tcPr>
          <w:p>
            <w:pPr/>
            <w:r>
              <w:rPr/>
              <w:t xml:space="preserve">Vedení provozní dokumentace</w:t>
            </w:r>
          </w:p>
        </w:tc>
        <w:tc>
          <w:tcPr>
            <w:tcW w:w="2000" w:type="dxa"/>
          </w:tcPr>
          <w:p>
            <w:pPr>
              <w:jc w:val="center"/>
            </w:pPr>
            <w:r>
              <w:rPr/>
              <w:t xml:space="preserve">4</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6" w:name="_Toc16"/>
      <w:r>
        <w:t>Odborné znalosti</w:t>
      </w:r>
      <w:bookmarkEnd w:id="16"/>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e52._.0001</w:t>
            </w:r>
          </w:p>
        </w:tc>
        <w:tc>
          <w:tcPr>
            <w:tcW w:w="3000" w:type="dxa"/>
          </w:tcPr>
          <w:p>
            <w:pPr/>
            <w:r>
              <w:rPr/>
              <w:t xml:space="preserve">základy chemických technologií, základní druhy strojů, zařízení a surovin</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e52._.0002</w:t>
            </w:r>
          </w:p>
        </w:tc>
        <w:tc>
          <w:tcPr>
            <w:tcW w:w="3000" w:type="dxa"/>
          </w:tcPr>
          <w:p>
            <w:pPr/>
            <w:r>
              <w:rPr/>
              <w:t xml:space="preserve">laboratorní technika a laboratorní postupy v chemii</w:t>
            </w:r>
          </w:p>
        </w:tc>
        <w:tc>
          <w:tcPr>
            <w:tcW w:w="2000" w:type="dxa"/>
          </w:tcPr>
          <w:p>
            <w:pPr>
              <w:jc w:val="center"/>
            </w:pPr>
            <w:r>
              <w:rPr/>
              <w:t xml:space="preserve">4</w:t>
            </w:r>
          </w:p>
        </w:tc>
        <w:tc>
          <w:tcPr>
            <w:tcW w:w="2000" w:type="dxa"/>
          </w:tcPr>
          <w:p>
            <w:pPr>
              <w:jc w:val="center"/>
            </w:pPr>
            <w:r>
              <w:rPr/>
              <w:t xml:space="preserve">Výhodné</w:t>
            </w:r>
          </w:p>
        </w:tc>
      </w:tr>
      <w:tr>
        <w:trPr/>
        <w:tc>
          <w:tcPr>
            <w:tcW w:w="2000" w:type="dxa"/>
          </w:tcPr>
          <w:p>
            <w:pPr>
              <w:jc w:val="center"/>
            </w:pPr>
            <w:r>
              <w:rPr/>
              <w:t xml:space="preserve">e52._.0005</w:t>
            </w:r>
          </w:p>
        </w:tc>
        <w:tc>
          <w:tcPr>
            <w:tcW w:w="3000" w:type="dxa"/>
          </w:tcPr>
          <w:p>
            <w:pPr/>
            <w:r>
              <w:rPr/>
              <w:t xml:space="preserve">základy koncových technologií na ochranu životního prostředí</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e52._.0031</w:t>
            </w:r>
          </w:p>
        </w:tc>
        <w:tc>
          <w:tcPr>
            <w:tcW w:w="3000" w:type="dxa"/>
          </w:tcPr>
          <w:p>
            <w:pPr/>
            <w:r>
              <w:rPr/>
              <w:t xml:space="preserve">zacházení s nebezpečnými chemickými látkami a přípravky</w:t>
            </w:r>
          </w:p>
        </w:tc>
        <w:tc>
          <w:tcPr>
            <w:tcW w:w="2000" w:type="dxa"/>
          </w:tcPr>
          <w:p>
            <w:pPr>
              <w:jc w:val="center"/>
            </w:pPr>
            <w:r>
              <w:rPr/>
              <w:t xml:space="preserve">5</w:t>
            </w:r>
          </w:p>
        </w:tc>
        <w:tc>
          <w:tcPr>
            <w:tcW w:w="2000" w:type="dxa"/>
          </w:tcPr>
          <w:p>
            <w:pPr>
              <w:jc w:val="center"/>
            </w:pPr>
            <w:r>
              <w:rPr/>
              <w:t xml:space="preserve">Nutné</w:t>
            </w:r>
          </w:p>
        </w:tc>
      </w:tr>
      <w:tr>
        <w:trPr/>
        <w:tc>
          <w:tcPr>
            <w:tcW w:w="2000" w:type="dxa"/>
          </w:tcPr>
          <w:p>
            <w:pPr>
              <w:jc w:val="center"/>
            </w:pPr>
            <w:r>
              <w:rPr/>
              <w:t xml:space="preserve">e52._.0032</w:t>
            </w:r>
          </w:p>
        </w:tc>
        <w:tc>
          <w:tcPr>
            <w:tcW w:w="3000" w:type="dxa"/>
          </w:tcPr>
          <w:p>
            <w:pPr/>
            <w:r>
              <w:rPr/>
              <w:t xml:space="preserve">zacházení s jedy a žíravinami</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e52._.0097</w:t>
            </w:r>
          </w:p>
        </w:tc>
        <w:tc>
          <w:tcPr>
            <w:tcW w:w="3000" w:type="dxa"/>
          </w:tcPr>
          <w:p>
            <w:pPr/>
            <w:r>
              <w:rPr/>
              <w:t xml:space="preserve">legislativa související s chemickou výrobou</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j14._.0001</w:t>
            </w:r>
          </w:p>
        </w:tc>
        <w:tc>
          <w:tcPr>
            <w:tcW w:w="3000" w:type="dxa"/>
          </w:tcPr>
          <w:p>
            <w:pPr/>
            <w:r>
              <w:rPr/>
              <w:t xml:space="preserve">anorganická chemie</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j14._.0002</w:t>
            </w:r>
          </w:p>
        </w:tc>
        <w:tc>
          <w:tcPr>
            <w:tcW w:w="3000" w:type="dxa"/>
          </w:tcPr>
          <w:p>
            <w:pPr/>
            <w:r>
              <w:rPr/>
              <w:t xml:space="preserve">organická chemie</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j14._.0021</w:t>
            </w:r>
          </w:p>
        </w:tc>
        <w:tc>
          <w:tcPr>
            <w:tcW w:w="3000" w:type="dxa"/>
          </w:tcPr>
          <w:p>
            <w:pPr/>
            <w:r>
              <w:rPr/>
              <w:t xml:space="preserve">analytická chemie</w:t>
            </w:r>
          </w:p>
        </w:tc>
        <w:tc>
          <w:tcPr>
            <w:tcW w:w="2000" w:type="dxa"/>
          </w:tcPr>
          <w:p>
            <w:pPr>
              <w:jc w:val="center"/>
            </w:pPr>
            <w:r>
              <w:rPr/>
              <w:t xml:space="preserve">4</w:t>
            </w:r>
          </w:p>
        </w:tc>
        <w:tc>
          <w:tcPr>
            <w:tcW w:w="2000" w:type="dxa"/>
          </w:tcPr>
          <w:p>
            <w:pPr>
              <w:jc w:val="center"/>
            </w:pPr>
            <w:r>
              <w:rPr/>
              <w:t xml:space="preserve">Výhodné</w:t>
            </w:r>
          </w:p>
        </w:tc>
      </w:tr>
      <w:tr>
        <w:trPr/>
        <w:tc>
          <w:tcPr>
            <w:tcW w:w="2000" w:type="dxa"/>
          </w:tcPr>
          <w:p>
            <w:pPr>
              <w:jc w:val="center"/>
            </w:pPr>
            <w:r>
              <w:rPr/>
              <w:t xml:space="preserve">j22._.0016</w:t>
            </w:r>
          </w:p>
        </w:tc>
        <w:tc>
          <w:tcPr>
            <w:tcW w:w="3000" w:type="dxa"/>
          </w:tcPr>
          <w:p>
            <w:pPr/>
            <w:r>
              <w:rPr/>
              <w:t xml:space="preserve">počítačové zpracování textů a tabulek</w:t>
            </w:r>
          </w:p>
        </w:tc>
        <w:tc>
          <w:tcPr>
            <w:tcW w:w="2000" w:type="dxa"/>
          </w:tcPr>
          <w:p>
            <w:pPr>
              <w:jc w:val="center"/>
            </w:pPr>
            <w:r>
              <w:rPr/>
              <w:t xml:space="preserve">4</w:t>
            </w:r>
          </w:p>
        </w:tc>
        <w:tc>
          <w:tcPr>
            <w:tcW w:w="2000" w:type="dxa"/>
          </w:tcPr>
          <w:p>
            <w:pPr>
              <w:jc w:val="center"/>
            </w:pPr>
            <w:r>
              <w:rPr/>
              <w:t xml:space="preserve">Výhodné</w:t>
            </w:r>
          </w:p>
        </w:tc>
      </w:tr>
      <w:tr>
        <w:trPr/>
        <w:tc>
          <w:tcPr>
            <w:tcW w:w="2000" w:type="dxa"/>
          </w:tcPr>
          <w:p>
            <w:pPr>
              <w:jc w:val="center"/>
            </w:pPr>
            <w:r>
              <w:rPr/>
              <w:t xml:space="preserve">l24._.0001</w:t>
            </w:r>
          </w:p>
        </w:tc>
        <w:tc>
          <w:tcPr>
            <w:tcW w:w="3000" w:type="dxa"/>
          </w:tcPr>
          <w:p>
            <w:pPr/>
            <w:r>
              <w:rPr/>
              <w:t xml:space="preserve">bezpečnost práce</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l24._.0002</w:t>
            </w:r>
          </w:p>
        </w:tc>
        <w:tc>
          <w:tcPr>
            <w:tcW w:w="3000" w:type="dxa"/>
          </w:tcPr>
          <w:p>
            <w:pPr/>
            <w:r>
              <w:rPr/>
              <w:t xml:space="preserve">zdraví a hygiena při práci</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l24._.0003</w:t>
            </w:r>
          </w:p>
        </w:tc>
        <w:tc>
          <w:tcPr>
            <w:tcW w:w="3000" w:type="dxa"/>
          </w:tcPr>
          <w:p>
            <w:pPr/>
            <w:r>
              <w:rPr/>
              <w:t xml:space="preserve">pracovní prostředí a pracovní podmínky</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l24._.0099</w:t>
            </w:r>
          </w:p>
        </w:tc>
        <w:tc>
          <w:tcPr>
            <w:tcW w:w="3000" w:type="dxa"/>
          </w:tcPr>
          <w:p>
            <w:pPr/>
            <w:r>
              <w:rPr/>
              <w:t xml:space="preserve">legislativa BOZP</w:t>
            </w:r>
          </w:p>
        </w:tc>
        <w:tc>
          <w:tcPr>
            <w:tcW w:w="2000" w:type="dxa"/>
          </w:tcPr>
          <w:p>
            <w:pPr>
              <w:jc w:val="center"/>
            </w:pPr>
            <w:r>
              <w:rPr/>
              <w:t xml:space="preserve">4</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7" w:name="_Toc17"/>
      <w:r>
        <w:t>Obecné dovednosti</w:t>
      </w:r>
      <w:bookmarkEnd w:id="17"/>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0-3</w:t>
            </w:r>
          </w:p>
        </w:tc>
      </w:tr>
      <w:tr>
        <w:trPr/>
        <w:tc>
          <w:tcPr>
            <w:tcW w:w="2000" w:type="dxa"/>
          </w:tcPr>
          <w:p>
            <w:pPr>
              <w:jc w:val="center"/>
            </w:pPr>
            <w:r>
              <w:rPr/>
              <w:t xml:space="preserve">b01</w:t>
            </w:r>
          </w:p>
        </w:tc>
        <w:tc>
          <w:tcPr>
            <w:tcW w:w="5000" w:type="dxa"/>
          </w:tcPr>
          <w:p>
            <w:pPr/>
            <w:r>
              <w:rPr/>
              <w:t xml:space="preserve">Počítačová způsobilost</w:t>
            </w:r>
          </w:p>
        </w:tc>
        <w:tc>
          <w:tcPr>
            <w:tcW w:w="2000" w:type="dxa"/>
          </w:tcPr>
          <w:p>
            <w:pPr>
              <w:jc w:val="center"/>
            </w:pPr>
            <w:r>
              <w:rPr/>
              <w:t xml:space="preserve">2</w:t>
            </w:r>
          </w:p>
        </w:tc>
      </w:tr>
      <w:tr>
        <w:trPr/>
        <w:tc>
          <w:tcPr>
            <w:tcW w:w="2000" w:type="dxa"/>
          </w:tcPr>
          <w:p>
            <w:pPr>
              <w:jc w:val="center"/>
            </w:pPr>
            <w:r>
              <w:rPr/>
              <w:t xml:space="preserve">b02</w:t>
            </w:r>
          </w:p>
        </w:tc>
        <w:tc>
          <w:tcPr>
            <w:tcW w:w="5000" w:type="dxa"/>
          </w:tcPr>
          <w:p>
            <w:pPr/>
            <w:r>
              <w:rPr/>
              <w:t xml:space="preserve">Způsobilost k řízení osobního automobilu</w:t>
            </w:r>
          </w:p>
        </w:tc>
        <w:tc>
          <w:tcPr>
            <w:tcW w:w="2000" w:type="dxa"/>
          </w:tcPr>
          <w:p>
            <w:pPr>
              <w:jc w:val="center"/>
            </w:pPr>
            <w:r>
              <w:rPr/>
              <w:t xml:space="preserve">1</w:t>
            </w:r>
          </w:p>
        </w:tc>
      </w:tr>
      <w:tr>
        <w:trPr/>
        <w:tc>
          <w:tcPr>
            <w:tcW w:w="2000" w:type="dxa"/>
          </w:tcPr>
          <w:p>
            <w:pPr>
              <w:jc w:val="center"/>
            </w:pPr>
            <w:r>
              <w:rPr/>
              <w:t xml:space="preserve">b03</w:t>
            </w:r>
          </w:p>
        </w:tc>
        <w:tc>
          <w:tcPr>
            <w:tcW w:w="5000" w:type="dxa"/>
          </w:tcPr>
          <w:p>
            <w:pPr/>
            <w:r>
              <w:rPr/>
              <w:t xml:space="preserve">Numerická způsobilost</w:t>
            </w:r>
          </w:p>
        </w:tc>
        <w:tc>
          <w:tcPr>
            <w:tcW w:w="2000" w:type="dxa"/>
          </w:tcPr>
          <w:p>
            <w:pPr>
              <w:jc w:val="center"/>
            </w:pPr>
            <w:r>
              <w:rPr/>
              <w:t xml:space="preserve">2</w:t>
            </w:r>
          </w:p>
        </w:tc>
      </w:tr>
      <w:tr>
        <w:trPr/>
        <w:tc>
          <w:tcPr>
            <w:tcW w:w="2000" w:type="dxa"/>
          </w:tcPr>
          <w:p>
            <w:pPr>
              <w:jc w:val="center"/>
            </w:pPr>
            <w:r>
              <w:rPr/>
              <w:t xml:space="preserve">b04</w:t>
            </w:r>
          </w:p>
        </w:tc>
        <w:tc>
          <w:tcPr>
            <w:tcW w:w="5000" w:type="dxa"/>
          </w:tcPr>
          <w:p>
            <w:pPr/>
            <w:r>
              <w:rPr/>
              <w:t xml:space="preserve">Ekonomické povědomí</w:t>
            </w:r>
          </w:p>
        </w:tc>
        <w:tc>
          <w:tcPr>
            <w:tcW w:w="2000" w:type="dxa"/>
          </w:tcPr>
          <w:p>
            <w:pPr>
              <w:jc w:val="center"/>
            </w:pPr>
            <w:r>
              <w:rPr/>
              <w:t xml:space="preserve">1</w:t>
            </w:r>
          </w:p>
        </w:tc>
      </w:tr>
      <w:tr>
        <w:trPr/>
        <w:tc>
          <w:tcPr>
            <w:tcW w:w="2000" w:type="dxa"/>
          </w:tcPr>
          <w:p>
            <w:pPr>
              <w:jc w:val="center"/>
            </w:pPr>
            <w:r>
              <w:rPr/>
              <w:t xml:space="preserve">b05</w:t>
            </w:r>
          </w:p>
        </w:tc>
        <w:tc>
          <w:tcPr>
            <w:tcW w:w="5000" w:type="dxa"/>
          </w:tcPr>
          <w:p>
            <w:pPr/>
            <w:r>
              <w:rPr/>
              <w:t xml:space="preserve">Právní povědomí</w:t>
            </w:r>
          </w:p>
        </w:tc>
        <w:tc>
          <w:tcPr>
            <w:tcW w:w="2000" w:type="dxa"/>
          </w:tcPr>
          <w:p>
            <w:pPr>
              <w:jc w:val="center"/>
            </w:pPr>
            <w:r>
              <w:rPr/>
              <w:t xml:space="preserve">2</w:t>
            </w:r>
          </w:p>
        </w:tc>
      </w:tr>
      <w:tr>
        <w:trPr/>
        <w:tc>
          <w:tcPr>
            <w:tcW w:w="2000" w:type="dxa"/>
          </w:tcPr>
          <w:p>
            <w:pPr>
              <w:jc w:val="center"/>
            </w:pPr>
            <w:r>
              <w:rPr/>
              <w:t xml:space="preserve">b06</w:t>
            </w:r>
          </w:p>
        </w:tc>
        <w:tc>
          <w:tcPr>
            <w:tcW w:w="5000" w:type="dxa"/>
          </w:tcPr>
          <w:p>
            <w:pPr/>
            <w:r>
              <w:rPr/>
              <w:t xml:space="preserve">Jazyková způsobilost v češtině</w:t>
            </w:r>
          </w:p>
        </w:tc>
        <w:tc>
          <w:tcPr>
            <w:tcW w:w="2000" w:type="dxa"/>
          </w:tcPr>
          <w:p>
            <w:pPr>
              <w:jc w:val="center"/>
            </w:pPr>
            <w:r>
              <w:rPr/>
              <w:t xml:space="preserve">2</w:t>
            </w:r>
          </w:p>
        </w:tc>
      </w:tr>
      <w:tr>
        <w:trPr/>
        <w:tc>
          <w:tcPr>
            <w:tcW w:w="2000" w:type="dxa"/>
          </w:tcPr>
          <w:p>
            <w:pPr>
              <w:jc w:val="center"/>
            </w:pPr>
            <w:r>
              <w:rPr/>
              <w:t xml:space="preserve">b07</w:t>
            </w:r>
          </w:p>
        </w:tc>
        <w:tc>
          <w:tcPr>
            <w:tcW w:w="5000" w:type="dxa"/>
          </w:tcPr>
          <w:p>
            <w:pPr/>
            <w:r>
              <w:rPr/>
              <w:t xml:space="preserve">Jazyková způsobilost v angličtině</w:t>
            </w:r>
          </w:p>
        </w:tc>
        <w:tc>
          <w:tcPr>
            <w:tcW w:w="2000" w:type="dxa"/>
          </w:tcPr>
          <w:p>
            <w:pPr>
              <w:jc w:val="center"/>
            </w:pPr>
            <w:r>
              <w:rPr/>
              <w:t xml:space="preserve">0</w:t>
            </w:r>
          </w:p>
        </w:tc>
      </w:tr>
      <w:tr>
        <w:trPr/>
        <w:tc>
          <w:tcPr>
            <w:tcW w:w="2000" w:type="dxa"/>
          </w:tcPr>
          <w:p>
            <w:pPr>
              <w:jc w:val="center"/>
            </w:pPr>
            <w:r>
              <w:rPr/>
              <w:t xml:space="preserve">b08</w:t>
            </w:r>
          </w:p>
        </w:tc>
        <w:tc>
          <w:tcPr>
            <w:tcW w:w="5000" w:type="dxa"/>
          </w:tcPr>
          <w:p>
            <w:pPr/>
            <w:r>
              <w:rPr/>
              <w:t xml:space="preserve">Jazyková způsobilost v dalším cizím jazyce</w:t>
            </w:r>
          </w:p>
        </w:tc>
        <w:tc>
          <w:tcPr>
            <w:tcW w:w="2000" w:type="dxa"/>
          </w:tcPr>
          <w:p>
            <w:pPr>
              <w:jc w:val="center"/>
            </w:pPr>
            <w:r>
              <w:rPr/>
              <w:t xml:space="preserve">0</w:t>
            </w:r>
          </w:p>
        </w:tc>
      </w:tr>
    </w:tbl>
    <w:p>
      <w:pPr/>
      <w:r>
        <w:rPr>
          <w:sz w:val="16"/>
          <w:szCs w:val="16"/>
          <w:i w:val="1"/>
          <w:iCs w:val="1"/>
        </w:rPr>
        <w:t xml:space="preserve">Popisy úrovní naleznete zde: https://nsp.cz/downloads/Priloha_c10_manualu.pdf</w:t>
      </w:r>
    </w:p>
    <w:p/>
    <w:p>
      <w:pPr/>
      <w:r>
        <w:rPr>
          <w:sz w:val="16"/>
          <w:szCs w:val="16"/>
          <w:i w:val="1"/>
          <w:iCs w:val="1"/>
        </w:rPr>
        <w:t xml:space="preserve">Popisy úrovní naleznete zde: https://nsp.cz/downloads/Priloha_c15_manualu.pdf</w:t>
      </w:r>
    </w:p>
    <w:p/>
    <w:p>
      <w:pPr>
        <w:pStyle w:val="Heading3"/>
      </w:pPr>
      <w:bookmarkStart w:id="18" w:name="_Toc18"/>
      <w:r>
        <w:t>Měkké kompetence</w:t>
      </w:r>
      <w:bookmarkEnd w:id="18"/>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0-5</w:t>
            </w:r>
          </w:p>
        </w:tc>
      </w:tr>
      <w:tr>
        <w:trPr/>
        <w:tc>
          <w:tcPr>
            <w:tcW w:w="2000" w:type="dxa"/>
          </w:tcPr>
          <w:p>
            <w:pPr>
              <w:jc w:val="center"/>
            </w:pPr>
            <w:r>
              <w:rPr/>
              <w:t xml:space="preserve">2.1</w:t>
            </w:r>
          </w:p>
        </w:tc>
        <w:tc>
          <w:tcPr>
            <w:tcW w:w="5000" w:type="dxa"/>
          </w:tcPr>
          <w:p>
            <w:pPr/>
            <w:r>
              <w:rPr/>
              <w:t xml:space="preserve">Kompetence k efektivní komunikaci</w:t>
            </w:r>
          </w:p>
        </w:tc>
        <w:tc>
          <w:tcPr>
            <w:tcW w:w="2000" w:type="dxa"/>
          </w:tcPr>
          <w:p>
            <w:pPr>
              <w:jc w:val="center"/>
            </w:pPr>
            <w:r>
              <w:rPr/>
              <w:t xml:space="preserve">3</w:t>
            </w:r>
          </w:p>
        </w:tc>
      </w:tr>
      <w:tr>
        <w:trPr/>
        <w:tc>
          <w:tcPr>
            <w:tcW w:w="2000" w:type="dxa"/>
          </w:tcPr>
          <w:p>
            <w:pPr>
              <w:jc w:val="center"/>
            </w:pPr>
            <w:r>
              <w:rPr/>
              <w:t xml:space="preserve">2.6</w:t>
            </w:r>
          </w:p>
        </w:tc>
        <w:tc>
          <w:tcPr>
            <w:tcW w:w="5000" w:type="dxa"/>
          </w:tcPr>
          <w:p>
            <w:pPr/>
            <w:r>
              <w:rPr/>
              <w:t xml:space="preserve">Kompetence k vedení lidí</w:t>
            </w:r>
          </w:p>
        </w:tc>
        <w:tc>
          <w:tcPr>
            <w:tcW w:w="2000" w:type="dxa"/>
          </w:tcPr>
          <w:p>
            <w:pPr>
              <w:jc w:val="center"/>
            </w:pPr>
            <w:r>
              <w:rPr/>
              <w:t xml:space="preserve">0</w:t>
            </w:r>
          </w:p>
        </w:tc>
      </w:tr>
      <w:tr>
        <w:trPr/>
        <w:tc>
          <w:tcPr>
            <w:tcW w:w="2000" w:type="dxa"/>
          </w:tcPr>
          <w:p>
            <w:pPr>
              <w:jc w:val="center"/>
            </w:pPr>
            <w:r>
              <w:rPr/>
              <w:t xml:space="preserve">3.3</w:t>
            </w:r>
          </w:p>
        </w:tc>
        <w:tc>
          <w:tcPr>
            <w:tcW w:w="5000" w:type="dxa"/>
          </w:tcPr>
          <w:p>
            <w:pPr/>
            <w:r>
              <w:rPr/>
              <w:t xml:space="preserve">Kompetence k objevování a orientaci v informacích</w:t>
            </w:r>
          </w:p>
        </w:tc>
        <w:tc>
          <w:tcPr>
            <w:tcW w:w="2000" w:type="dxa"/>
          </w:tcPr>
          <w:p>
            <w:pPr>
              <w:jc w:val="center"/>
            </w:pPr>
            <w:r>
              <w:rPr/>
              <w:t xml:space="preserve">3</w:t>
            </w:r>
          </w:p>
        </w:tc>
      </w:tr>
      <w:tr>
        <w:trPr/>
        <w:tc>
          <w:tcPr>
            <w:tcW w:w="2000" w:type="dxa"/>
          </w:tcPr>
          <w:p>
            <w:pPr>
              <w:jc w:val="center"/>
            </w:pPr>
            <w:r>
              <w:rPr/>
              <w:t xml:space="preserve">1.4</w:t>
            </w:r>
          </w:p>
        </w:tc>
        <w:tc>
          <w:tcPr>
            <w:tcW w:w="5000" w:type="dxa"/>
          </w:tcPr>
          <w:p>
            <w:pPr/>
            <w:r>
              <w:rPr/>
              <w:t xml:space="preserve">Kompetence ke zvládání stresu a zátěže</w:t>
            </w:r>
          </w:p>
        </w:tc>
        <w:tc>
          <w:tcPr>
            <w:tcW w:w="2000" w:type="dxa"/>
          </w:tcPr>
          <w:p>
            <w:pPr>
              <w:jc w:val="center"/>
            </w:pPr>
            <w:r>
              <w:rPr/>
              <w:t xml:space="preserve">3</w:t>
            </w:r>
          </w:p>
        </w:tc>
      </w:tr>
      <w:tr>
        <w:trPr/>
        <w:tc>
          <w:tcPr>
            <w:tcW w:w="2000" w:type="dxa"/>
          </w:tcPr>
          <w:p>
            <w:pPr>
              <w:jc w:val="center"/>
            </w:pPr>
            <w:r>
              <w:rPr/>
              <w:t xml:space="preserve">4.1</w:t>
            </w:r>
          </w:p>
        </w:tc>
        <w:tc>
          <w:tcPr>
            <w:tcW w:w="5000" w:type="dxa"/>
          </w:tcPr>
          <w:p>
            <w:pPr/>
            <w:r>
              <w:rPr/>
              <w:t xml:space="preserve">Kompetence k aktivnímu přístupu</w:t>
            </w:r>
          </w:p>
        </w:tc>
        <w:tc>
          <w:tcPr>
            <w:tcW w:w="2000" w:type="dxa"/>
          </w:tcPr>
          <w:p>
            <w:pPr>
              <w:jc w:val="center"/>
            </w:pPr>
            <w:r>
              <w:rPr/>
              <w:t xml:space="preserve">3</w:t>
            </w:r>
          </w:p>
        </w:tc>
      </w:tr>
      <w:tr>
        <w:trPr/>
        <w:tc>
          <w:tcPr>
            <w:tcW w:w="2000" w:type="dxa"/>
          </w:tcPr>
          <w:p>
            <w:pPr>
              <w:jc w:val="center"/>
            </w:pPr>
            <w:r>
              <w:rPr/>
              <w:t xml:space="preserve">1.1</w:t>
            </w:r>
          </w:p>
        </w:tc>
        <w:tc>
          <w:tcPr>
            <w:tcW w:w="5000" w:type="dxa"/>
          </w:tcPr>
          <w:p>
            <w:pPr/>
            <w:r>
              <w:rPr/>
              <w:t xml:space="preserve">Kompetence k celoživotnímu vzdělávání</w:t>
            </w:r>
          </w:p>
        </w:tc>
        <w:tc>
          <w:tcPr>
            <w:tcW w:w="2000" w:type="dxa"/>
          </w:tcPr>
          <w:p>
            <w:pPr>
              <w:jc w:val="center"/>
            </w:pPr>
            <w:r>
              <w:rPr/>
              <w:t xml:space="preserve">3</w:t>
            </w:r>
          </w:p>
        </w:tc>
      </w:tr>
      <w:tr>
        <w:trPr/>
        <w:tc>
          <w:tcPr>
            <w:tcW w:w="2000" w:type="dxa"/>
          </w:tcPr>
          <w:p>
            <w:pPr>
              <w:jc w:val="center"/>
            </w:pPr>
            <w:r>
              <w:rPr/>
              <w:t xml:space="preserve">4.2</w:t>
            </w:r>
          </w:p>
        </w:tc>
        <w:tc>
          <w:tcPr>
            <w:tcW w:w="5000" w:type="dxa"/>
          </w:tcPr>
          <w:p>
            <w:pPr/>
            <w:r>
              <w:rPr/>
              <w:t xml:space="preserve">Kompetence k plánování a organizování práce</w:t>
            </w:r>
          </w:p>
        </w:tc>
        <w:tc>
          <w:tcPr>
            <w:tcW w:w="2000" w:type="dxa"/>
          </w:tcPr>
          <w:p>
            <w:pPr>
              <w:jc w:val="center"/>
            </w:pPr>
            <w:r>
              <w:rPr/>
              <w:t xml:space="preserve">3</w:t>
            </w:r>
          </w:p>
        </w:tc>
      </w:tr>
      <w:tr>
        <w:trPr/>
        <w:tc>
          <w:tcPr>
            <w:tcW w:w="2000" w:type="dxa"/>
          </w:tcPr>
          <w:p>
            <w:pPr>
              <w:jc w:val="center"/>
            </w:pPr>
            <w:r>
              <w:rPr/>
              <w:t xml:space="preserve">4.4</w:t>
            </w:r>
          </w:p>
        </w:tc>
        <w:tc>
          <w:tcPr>
            <w:tcW w:w="5000" w:type="dxa"/>
          </w:tcPr>
          <w:p>
            <w:pPr/>
            <w:r>
              <w:rPr/>
              <w:t xml:space="preserve">Kompetence k řešení problémů</w:t>
            </w:r>
          </w:p>
        </w:tc>
        <w:tc>
          <w:tcPr>
            <w:tcW w:w="2000" w:type="dxa"/>
          </w:tcPr>
          <w:p>
            <w:pPr>
              <w:jc w:val="center"/>
            </w:pPr>
            <w:r>
              <w:rPr/>
              <w:t xml:space="preserve">3</w:t>
            </w:r>
          </w:p>
        </w:tc>
      </w:tr>
      <w:tr>
        <w:trPr/>
        <w:tc>
          <w:tcPr>
            <w:tcW w:w="2000" w:type="dxa"/>
          </w:tcPr>
          <w:p>
            <w:pPr>
              <w:jc w:val="center"/>
            </w:pPr>
            <w:r>
              <w:rPr/>
              <w:t xml:space="preserve">4.5</w:t>
            </w:r>
          </w:p>
        </w:tc>
        <w:tc>
          <w:tcPr>
            <w:tcW w:w="5000" w:type="dxa"/>
          </w:tcPr>
          <w:p>
            <w:pPr/>
            <w:r>
              <w:rPr/>
              <w:t xml:space="preserve">Kompetence k samostatnosti</w:t>
            </w:r>
          </w:p>
        </w:tc>
        <w:tc>
          <w:tcPr>
            <w:tcW w:w="2000" w:type="dxa"/>
          </w:tcPr>
          <w:p>
            <w:pPr>
              <w:jc w:val="center"/>
            </w:pPr>
            <w:r>
              <w:rPr/>
              <w:t xml:space="preserve">4</w:t>
            </w:r>
          </w:p>
        </w:tc>
      </w:tr>
      <w:tr>
        <w:trPr/>
        <w:tc>
          <w:tcPr>
            <w:tcW w:w="2000" w:type="dxa"/>
          </w:tcPr>
          <w:p>
            <w:pPr>
              <w:jc w:val="center"/>
            </w:pPr>
            <w:r>
              <w:rPr/>
              <w:t xml:space="preserve">4.6</w:t>
            </w:r>
          </w:p>
        </w:tc>
        <w:tc>
          <w:tcPr>
            <w:tcW w:w="5000" w:type="dxa"/>
          </w:tcPr>
          <w:p>
            <w:pPr/>
            <w:r>
              <w:rPr/>
              <w:t xml:space="preserve">Kompetence k výkonnosti</w:t>
            </w:r>
          </w:p>
        </w:tc>
        <w:tc>
          <w:tcPr>
            <w:tcW w:w="2000" w:type="dxa"/>
          </w:tcPr>
          <w:p>
            <w:pPr>
              <w:jc w:val="center"/>
            </w:pPr>
            <w:r>
              <w:rPr/>
              <w:t xml:space="preserve">3</w:t>
            </w:r>
          </w:p>
        </w:tc>
      </w:tr>
      <w:tr>
        <w:trPr/>
        <w:tc>
          <w:tcPr>
            <w:tcW w:w="2000" w:type="dxa"/>
          </w:tcPr>
          <w:p>
            <w:pPr>
              <w:jc w:val="center"/>
            </w:pPr>
            <w:r>
              <w:rPr/>
              <w:t xml:space="preserve">2.3</w:t>
            </w:r>
          </w:p>
        </w:tc>
        <w:tc>
          <w:tcPr>
            <w:tcW w:w="5000" w:type="dxa"/>
          </w:tcPr>
          <w:p>
            <w:pPr/>
            <w:r>
              <w:rPr/>
              <w:t xml:space="preserve">Kompetence k orientaci na zákazníka a uspokojování zákaznických potřeb</w:t>
            </w:r>
          </w:p>
        </w:tc>
        <w:tc>
          <w:tcPr>
            <w:tcW w:w="2000" w:type="dxa"/>
          </w:tcPr>
          <w:p>
            <w:pPr>
              <w:jc w:val="center"/>
            </w:pPr>
            <w:r>
              <w:rPr/>
              <w:t xml:space="preserve">3</w:t>
            </w:r>
          </w:p>
        </w:tc>
      </w:tr>
      <w:tr>
        <w:trPr/>
        <w:tc>
          <w:tcPr>
            <w:tcW w:w="2000" w:type="dxa"/>
          </w:tcPr>
          <w:p>
            <w:pPr>
              <w:jc w:val="center"/>
            </w:pPr>
            <w:r>
              <w:rPr/>
              <w:t xml:space="preserve">1.2</w:t>
            </w:r>
          </w:p>
        </w:tc>
        <w:tc>
          <w:tcPr>
            <w:tcW w:w="5000" w:type="dxa"/>
          </w:tcPr>
          <w:p>
            <w:pPr/>
            <w:r>
              <w:rPr/>
              <w:t xml:space="preserve">Kompetence k flexibilitě</w:t>
            </w:r>
          </w:p>
        </w:tc>
        <w:tc>
          <w:tcPr>
            <w:tcW w:w="2000" w:type="dxa"/>
          </w:tcPr>
          <w:p>
            <w:pPr>
              <w:jc w:val="center"/>
            </w:pPr>
            <w:r>
              <w:rPr/>
              <w:t xml:space="preserve">4</w:t>
            </w:r>
          </w:p>
        </w:tc>
      </w:tr>
      <w:tr>
        <w:trPr/>
        <w:tc>
          <w:tcPr>
            <w:tcW w:w="2000" w:type="dxa"/>
          </w:tcPr>
          <w:p>
            <w:pPr>
              <w:jc w:val="center"/>
            </w:pPr>
            <w:r>
              <w:rPr/>
              <w:t xml:space="preserve">1.3</w:t>
            </w:r>
          </w:p>
        </w:tc>
        <w:tc>
          <w:tcPr>
            <w:tcW w:w="5000" w:type="dxa"/>
          </w:tcPr>
          <w:p>
            <w:pPr/>
            <w:r>
              <w:rPr/>
              <w:t xml:space="preserve">Kompetence ke kreativitě</w:t>
            </w:r>
          </w:p>
        </w:tc>
        <w:tc>
          <w:tcPr>
            <w:tcW w:w="2000" w:type="dxa"/>
          </w:tcPr>
          <w:p>
            <w:pPr>
              <w:jc w:val="center"/>
            </w:pPr>
            <w:r>
              <w:rPr/>
              <w:t xml:space="preserve">4</w:t>
            </w:r>
          </w:p>
        </w:tc>
      </w:tr>
      <w:tr>
        <w:trPr/>
        <w:tc>
          <w:tcPr>
            <w:tcW w:w="2000" w:type="dxa"/>
          </w:tcPr>
          <w:p>
            <w:pPr>
              <w:jc w:val="center"/>
            </w:pPr>
            <w:r>
              <w:rPr/>
              <w:t xml:space="preserve">2.2</w:t>
            </w:r>
          </w:p>
        </w:tc>
        <w:tc>
          <w:tcPr>
            <w:tcW w:w="5000" w:type="dxa"/>
          </w:tcPr>
          <w:p>
            <w:pPr/>
            <w:r>
              <w:rPr/>
              <w:t xml:space="preserve">Kompetence ke kooperaci</w:t>
            </w:r>
          </w:p>
        </w:tc>
        <w:tc>
          <w:tcPr>
            <w:tcW w:w="2000" w:type="dxa"/>
          </w:tcPr>
          <w:p>
            <w:pPr>
              <w:jc w:val="center"/>
            </w:pPr>
            <w:r>
              <w:rPr/>
              <w:t xml:space="preserve">3</w:t>
            </w:r>
          </w:p>
        </w:tc>
      </w:tr>
      <w:tr>
        <w:trPr/>
        <w:tc>
          <w:tcPr>
            <w:tcW w:w="2000" w:type="dxa"/>
          </w:tcPr>
          <w:p>
            <w:pPr>
              <w:jc w:val="center"/>
            </w:pPr>
            <w:r>
              <w:rPr/>
              <w:t xml:space="preserve">2.4</w:t>
            </w:r>
          </w:p>
        </w:tc>
        <w:tc>
          <w:tcPr>
            <w:tcW w:w="5000" w:type="dxa"/>
          </w:tcPr>
          <w:p>
            <w:pPr/>
            <w:r>
              <w:rPr/>
              <w:t xml:space="preserve">Kompetence k ovlivňování a rozvíjení ostatních</w:t>
            </w:r>
          </w:p>
        </w:tc>
        <w:tc>
          <w:tcPr>
            <w:tcW w:w="2000" w:type="dxa"/>
          </w:tcPr>
          <w:p>
            <w:pPr>
              <w:jc w:val="center"/>
            </w:pPr>
            <w:r>
              <w:rPr/>
              <w:t xml:space="preserve">3</w:t>
            </w:r>
          </w:p>
        </w:tc>
      </w:tr>
    </w:tbl>
    <w:p>
      <w:pPr/>
      <w:r>
        <w:rPr>
          <w:sz w:val="16"/>
          <w:szCs w:val="16"/>
          <w:i w:val="1"/>
          <w:iCs w:val="1"/>
        </w:rPr>
        <w:t xml:space="preserve">Popisy úrovní naleznete zde: https://nsp.cz/downloads/Priloha_c9_manualu.pdf</w:t>
      </w:r>
    </w:p>
    <w:p/>
    <w:p>
      <w:pPr>
        <w:pStyle w:val="Heading2"/>
      </w:pPr>
      <w:bookmarkStart w:id="19" w:name="_Toc19"/>
      <w:r>
        <w:t>Zdravotní podmínky</w:t>
      </w:r>
      <w:bookmarkEnd w:id="19"/>
    </w:p>
    <w:p>
      <w:pPr>
        <w:pStyle w:val="Heading3"/>
      </w:pPr>
      <w:bookmarkStart w:id="20" w:name="_Toc20"/>
      <w:r>
        <w:t>Onemocnění omezující výkon povolání / specializace povolání.</w:t>
      </w:r>
      <w:bookmarkEnd w:id="20"/>
    </w:p>
    <w:p>
      <w:pPr>
        <w:numPr>
          <w:ilvl w:val="0"/>
          <w:numId w:val="5"/>
        </w:numPr>
      </w:pPr>
      <w:r>
        <w:rPr/>
        <w:t xml:space="preserve">Závažná orgánová onemocnění podle toxikologických vlastností látek</w:t>
      </w:r>
    </w:p>
    <w:p>
      <w:pPr>
        <w:numPr>
          <w:ilvl w:val="0"/>
          <w:numId w:val="5"/>
        </w:numPr>
      </w:pPr>
      <w:r>
        <w:rPr/>
        <w:t xml:space="preserve">Poruchy vidění</w:t>
      </w:r>
    </w:p>
    <w:p>
      <w:pPr>
        <w:numPr>
          <w:ilvl w:val="0"/>
          <w:numId w:val="5"/>
        </w:numPr>
      </w:pPr>
      <w:r>
        <w:rPr/>
        <w:t xml:space="preserve">Duševní poruchy</w:t>
      </w:r>
    </w:p>
    <w:p>
      <w:pPr>
        <w:numPr>
          <w:ilvl w:val="0"/>
          <w:numId w:val="5"/>
        </w:numPr>
      </w:pPr>
      <w:r>
        <w:rPr/>
        <w:t xml:space="preserve">Poruchy chování</w:t>
      </w:r>
    </w:p>
    <w:p>
      <w:pPr>
        <w:numPr>
          <w:ilvl w:val="0"/>
          <w:numId w:val="5"/>
        </w:numPr>
      </w:pPr>
      <w:r>
        <w:rPr/>
        <w:t xml:space="preserve">Závažná psychosomatická onemocnění</w:t>
      </w:r>
    </w:p>
    <w:p>
      <w:pPr>
        <w:numPr>
          <w:ilvl w:val="0"/>
          <w:numId w:val="5"/>
        </w:numPr>
      </w:pPr>
      <w:r>
        <w:rPr/>
        <w:t xml:space="preserve">Drogová závislost v anamnéze</w:t>
      </w:r>
    </w:p>
    <w:p>
      <w:pPr>
        <w:pStyle w:val="Heading3"/>
      </w:pPr>
      <w:bookmarkStart w:id="21" w:name="_Toc21"/>
      <w:r>
        <w:t>Onemocnění vylučující výkon povolání / specializace povolání.e</w:t>
      </w:r>
      <w:bookmarkEnd w:id="21"/>
    </w:p>
    <w:p>
      <w:pPr>
        <w:numPr>
          <w:ilvl w:val="0"/>
          <w:numId w:val="5"/>
        </w:numPr>
      </w:pPr>
      <w:r>
        <w:rPr/>
        <w:t xml:space="preserve">Prokázaná přecitlivělost na chemické látky pracovního prostředí</w:t>
      </w:r>
    </w:p>
    <w:p>
      <w:pPr>
        <w:numPr>
          <w:ilvl w:val="0"/>
          <w:numId w:val="5"/>
        </w:numPr>
      </w:pPr>
      <w:r>
        <w:rPr/>
        <w:t xml:space="preserve">Chronická, prognosticky závažná orgánová onemocnění podle toxikologických vlastností látek</w:t>
      </w:r>
    </w:p>
    <w:p>
      <w:pPr>
        <w:numPr>
          <w:ilvl w:val="0"/>
          <w:numId w:val="5"/>
        </w:numPr>
      </w:pPr>
      <w:r>
        <w:rPr/>
        <w:t xml:space="preserve">Záchvatovité a kolapsové stavy</w:t>
      </w:r>
    </w:p>
    <w:p>
      <w:pPr/>
      <w:r>
        <w:rPr>
          <w:sz w:val="16"/>
          <w:szCs w:val="16"/>
          <w:i w:val="1"/>
          <w:iCs w:val="1"/>
        </w:rPr>
        <w:t xml:space="preserve">Přesné posouzení zdravotního stavu s následným doporučením nebo nedoporučením výkonu této pozice je možné pouze po konzultaci s lékařem.</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2891076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spacing w:after="120"/>
    </w:pPr>
    <w:rPr>
      <w:sz w:val="40"/>
      <w:szCs w:val="40"/>
      <w:b w:val="1"/>
      <w:bCs w:val="1"/>
    </w:rPr>
  </w:style>
  <w:style w:type="paragraph" w:styleId="Heading2">
    <w:link w:val="Heading2Char"/>
    <w:name w:val="heading 2"/>
    <w:basedOn w:val="Normal"/>
    <w:pPr>
      <w:spacing w:after="80"/>
    </w:pPr>
    <w:rPr>
      <w:sz w:val="28"/>
      <w:szCs w:val="28"/>
      <w:b w:val="1"/>
      <w:bCs w:val="1"/>
    </w:rPr>
  </w:style>
  <w:style w:type="paragraph" w:styleId="Heading3">
    <w:link w:val="Heading3Char"/>
    <w:name w:val="heading 3"/>
    <w:basedOn w:val="Normal"/>
    <w:pPr>
      <w:spacing w:after="60"/>
    </w:pPr>
    <w:rPr>
      <w:sz w:val="24"/>
      <w:szCs w:val="24"/>
      <w:b w:val="1"/>
      <w:bCs w:val="1"/>
    </w:rPr>
  </w:style>
  <w:style w:type="paragraph" w:styleId="Heading4">
    <w:link w:val="Heading4Char"/>
    <w:name w:val="heading 4"/>
    <w:basedOn w:val="Normal"/>
    <w:pPr>
      <w:spacing w:after="6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FDV</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NSP.CZ</dc:creator>
  <dc:title>Chemický technik BOZP</dc:title>
  <dc:description>Chemický technik BOZP komplexně zajišťuje, metodicky řídí a kontroluje všechny činnosti v souvislosti s BOZP v chemickém průmyslu, šetří pracovní úrazy, z hlediska bezpečnosti práce posuzuje a analyzuje projekty, technologické procesy, výrobní a provozní procesy,  zpracovává osnovy školení, zajišťuje vzdělávání zaměstnanců v BOZP a vede příslušnou dokumentaci.</dc:description>
  <dc:subject/>
  <cp:keywords/>
  <cp:category>Specializace</cp:category>
  <cp:lastModifiedBy/>
  <dcterms:created xsi:type="dcterms:W3CDTF">2017-11-22T09:36:20+01:00</dcterms:created>
  <dcterms:modified xsi:type="dcterms:W3CDTF">2024-03-26T10:03:33+01:00</dcterms:modified>
</cp:coreProperties>
</file>

<file path=docProps/custom.xml><?xml version="1.0" encoding="utf-8"?>
<Properties xmlns="http://schemas.openxmlformats.org/officeDocument/2006/custom-properties" xmlns:vt="http://schemas.openxmlformats.org/officeDocument/2006/docPropsVTypes"/>
</file>