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národnostní menšiny</w:t>
      </w:r>
      <w:bookmarkEnd w:id="1"/>
    </w:p>
    <w:p>
      <w:pPr/>
      <w:r>
        <w:rPr/>
        <w:t xml:space="preserve"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na úseku problematiky národnostních menšin v oblasti výchovné, kulturní, vzdělávací, publikační a osvětové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 oblasti národnostních menšin v ÚSC.</w:t>
      </w:r>
    </w:p>
    <w:p>
      <w:pPr>
        <w:numPr>
          <w:ilvl w:val="0"/>
          <w:numId w:val="5"/>
        </w:numPr>
      </w:pPr>
      <w:r>
        <w:rPr/>
        <w:t xml:space="preserve">Sledování politiky Vlády ČR ve vztahu k národnostním menšinám a koordinace její realizace v ÚSC, spolupráce s příslušným orgány.</w:t>
      </w:r>
    </w:p>
    <w:p>
      <w:pPr>
        <w:numPr>
          <w:ilvl w:val="0"/>
          <w:numId w:val="5"/>
        </w:numPr>
      </w:pPr>
      <w:r>
        <w:rPr/>
        <w:t xml:space="preserve">Koordinace spolupráce orgánů a úřadů ÚSC s občanskými sdruženími národnostních menšin.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týkajících se národnostních menšin v ÚSC a v souvislosti s integrace cizinců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D0F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národnostní menšiny</dc:title>
  <dc:description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