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výzkumný a vývojový pracovník</w:t>
      </w:r>
      <w:bookmarkEnd w:id="1"/>
    </w:p>
    <w:p>
      <w:pPr/>
      <w:r>
        <w:rPr/>
        <w:t xml:space="preserve">Dřevařský výzkumný a vývojový pracovník řeší výzkumné a vývojové úkoly v oblasti dřevovýroby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Řešení úkolů zásadního významu pro rozvoj dřevařského oboru.</w:t>
      </w:r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kolektivu nebo týmu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nejnáročnějších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1AB2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výzkumný a vývojový pracovník</dc:title>
  <dc:description>Dřevařský výzkumný a vývojový pracovník řeší výzkumné a vývojové úkoly v oblasti dřevovýroby se složitými vazbami na ostatní vědní obory.</dc:description>
  <dc:subject/>
  <cp:keywords/>
  <cp:category>Povolání</cp:category>
  <cp:lastModifiedBy/>
  <dcterms:created xsi:type="dcterms:W3CDTF">2017-11-22T09:34:57+01:00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