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rozhodování</w:t>
      </w:r>
      <w:bookmarkEnd w:id="1"/>
    </w:p>
    <w:p>
      <w:pPr/>
      <w:r>
        <w:rPr/>
        <w:t xml:space="preserve">Referent specialista ostatního výkonu státní správy územního rozhodování vytváří, navrhuje a koordinuje kontrolní systémy a koordinuje a usměrňuje zabezpečování úkolů územního rozhodování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stavebního řádu,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územního rozhodování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ostatního výkonu státní správy územního rozhodování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rozhodování.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 zpracovávání analýz účinnosti a tvorba následných  metodických doporučení pro po usměrňování a sjednocování výkonu činností orgánů územního rozhodování.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rozhodování.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návrhům zadání a konceptům územně plánovací dokumentace, v rámci zajišťování činností na úseku územního plánování,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90A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rozhodování</dc:title>
  <dc:description>Referent specialista ostatního výkonu státní správy územního rozhodování vytváří, navrhuje a koordinuje kontrolní systémy a koordinuje a usměrňuje zabezpečování úkolů územního rozhodování na všech úrovních úřadů. </dc:description>
  <dc:subject/>
  <cp:keywords/>
  <cp:category>Specializace</cp:category>
  <cp:lastModifiedBy/>
  <dcterms:created xsi:type="dcterms:W3CDTF">2017-11-22T09:32:55+01:00</dcterms:created>
  <dcterms:modified xsi:type="dcterms:W3CDTF">2017-11-22T09:43:44+01:00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