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školství, mládež a sport</w:t>
      </w:r>
      <w:bookmarkEnd w:id="1"/>
    </w:p>
    <w:p>
      <w:pPr/>
      <w:r>
        <w:rPr/>
        <w:t xml:space="preserve">Pracovník samosprávy pro školství, mládež a sport vede agendu a zajišťuje dílčí úkoly v oblasti školství a tělovýchovy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Shromažďování a zpracovávání dat za školy a školská zařízení, vedení statistik a evidencí podle závazných postupů.</w:t>
      </w:r>
    </w:p>
    <w:p>
      <w:pPr>
        <w:numPr>
          <w:ilvl w:val="0"/>
          <w:numId w:val="5"/>
        </w:numPr>
      </w:pPr>
      <w:r>
        <w:rPr/>
        <w:t xml:space="preserve">Spolupráce na koncepční činnosti v oblasti školství.</w:t>
      </w:r>
    </w:p>
    <w:p>
      <w:pPr>
        <w:numPr>
          <w:ilvl w:val="0"/>
          <w:numId w:val="5"/>
        </w:numPr>
      </w:pPr>
      <w:r>
        <w:rPr/>
        <w:t xml:space="preserve">Zpracování tiskovin pro účely metodického řízení předškolních zařízení, škol a školských zařízení v působnosti příslušného samosprávního úřadu.</w:t>
      </w:r>
    </w:p>
    <w:p>
      <w:pPr>
        <w:numPr>
          <w:ilvl w:val="0"/>
          <w:numId w:val="5"/>
        </w:numPr>
      </w:pPr>
      <w:r>
        <w:rPr/>
        <w:t xml:space="preserve">Spolupráce na návrhu rozpočtu pro oblast školství, sledování příjmů a výdajů včetně navrhování opatření při jejich neplnění.</w:t>
      </w:r>
    </w:p>
    <w:p>
      <w:pPr>
        <w:numPr>
          <w:ilvl w:val="0"/>
          <w:numId w:val="5"/>
        </w:numPr>
      </w:pPr>
      <w:r>
        <w:rPr/>
        <w:t xml:space="preserve">Kontrola hospodaření s přidělenými prostředky u předškolních zařízení, škol a školských zařízení zřizovaných samosprávným celkem.</w:t>
      </w:r>
    </w:p>
    <w:p>
      <w:pPr>
        <w:numPr>
          <w:ilvl w:val="0"/>
          <w:numId w:val="5"/>
        </w:numPr>
      </w:pPr>
      <w:r>
        <w:rPr/>
        <w:t xml:space="preserve">Spolupráce se školami při zajišťování investičních akcí, běžné údržbě majetku.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technické, hygienické a další způsobilosti škol, předškolních zařízení a školských zařízení při zařazování do registru sítě škol, předškolních zařízení a školských zařízení v územním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metodického řízení předškolních zařízení, škol a školských zařízení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i21.D.3607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příjmů a výdajů v rozpočtu pro oblast školství, v rámci vedení agendy a zajišťování dílčích úkolů v oblasti školství a tělovýchovy,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technické, hygienické a další způsobilosti škol, předškolních zařízení a školských zařízení při zařazování do registru sítě škol, předškolních zařízení a školských zařízení v územním celku,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hospodaření s přidělenými prostředky u předškolních zařízení, škol a školských zařízení zřizovaných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agendy a dílčích úkolů v oblasti školství a tělovýchovy,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evidencí, statistik a dat škol a školských zařízení podle závazných postupů, v rámci zajišťování agendy a dílčích úkolů v oblasti školství a tělovýchovy,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tiskovin pro účely metodického řízení předškolních zařízení, škol a školských zařízení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školami při zajišťování investičních akcí a běžné údržby majetku, v rámci vedení agendy a zajišťování dílčích úkolů v oblasti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1EC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školství, mládež a sport</dc:title>
  <dc:description>Pracovník samosprávy pro školství, mládež a sport vede agendu a zajišťuje dílčí úkoly v oblasti školství a tělovýchovy v působnosti příslušného samosprávního úřadu. (PRACOVNÍ VERZE)</dc:description>
  <dc:subject/>
  <cp:keywords/>
  <cp:category>Povolání</cp:category>
  <cp:lastModifiedBy/>
  <dcterms:created xsi:type="dcterms:W3CDTF">2017-11-22T09:29:48+01:00</dcterms:created>
  <dcterms:modified xsi:type="dcterms:W3CDTF">2017-11-22T09:29:48+01:00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