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Pracovník celní asistenční činnosti</w:t>
      </w:r>
      <w:bookmarkEnd w:id="1"/>
    </w:p>
    <w:p>
      <w:pPr/>
      <w:r>
        <w:rPr/>
        <w:t xml:space="preserve">Pracovník celní asistenční činnosti zajišťuje ozbrojený doprovod určených druhů zboží a vykonává další odborné činnosti na tomto úseku.
Toto povolání je vykonáváno v souladu se zákonem č. 17/2012 Sb., o Celní správě České republiky, zákonem č. 361/2003 Sb., o služebním poměru příslušníků bezpečnostních sborů a vyhláškou č. 393/2006 Sb., o zdravotní způsobilosti.
Jednotka práce bude aktualizována v souladu s platnou legislativou v průběhu roku 2019 – 2020.</w:t>
      </w:r>
    </w:p>
    <w:p/>
    <w:tbl>
      <w:tblGrid>
        <w:gridCol w:w="3000" w:type="dxa"/>
        <w:gridCol w:w="6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3000" w:type="dxa"/>
          </w:tcPr>
          <w:p>
            <w:pPr/>
            <w:r>
              <w:rPr>
                <w:b w:val="1"/>
                <w:bCs w:val="1"/>
              </w:rPr>
              <w:t xml:space="preserve">Odborný směr:</w:t>
            </w:r>
          </w:p>
        </w:tc>
        <w:tc>
          <w:tcPr>
            <w:tcW w:w="6000" w:type="dxa"/>
          </w:tcPr>
          <w:p>
            <w:pPr/>
            <w:r>
              <w:rPr/>
              <w:t xml:space="preserve">Ozbrojené síly a bezpečnostní sbory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Odborný podsměr:</w:t>
            </w:r>
          </w:p>
        </w:tc>
        <w:tc>
          <w:tcPr/>
          <w:p>
            <w:pPr/>
            <w:r>
              <w:rPr/>
              <w:t xml:space="preserve">Celní správa ČR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Kvalifikační úroveň:</w:t>
            </w:r>
          </w:p>
        </w:tc>
        <w:tc>
          <w:tcPr/>
          <w:p>
            <w:pPr/>
            <w:r>
              <w:rPr/>
              <w:t xml:space="preserve">Střední vzdělání s maturitní zkouškou; Střední vzdělání s výučním listem i maturitní zkouškou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Alternativní názvy:</w:t>
            </w:r>
          </w:p>
        </w:tc>
        <w:tc>
          <w:tcPr/>
          <w:p>
            <w:pPr/>
            <w:r>
              <w:rPr/>
              <w:t xml:space="preserve">Customs Officer, Celník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Nadřízené povolání:</w:t>
            </w:r>
          </w:p>
        </w:tc>
        <w:tc>
          <w:tcPr/>
          <w:p>
            <w:pPr/>
            <w:r>
              <w:rPr/>
              <w:t xml:space="preserve">Celní pracovník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Příbuzné specializace:</w:t>
            </w:r>
          </w:p>
        </w:tc>
        <w:tc>
          <w:tcPr/>
          <w:p>
            <w:pPr/>
            <w:r>
              <w:rPr/>
              <w:t xml:space="preserve">Pracovník celního dohledu, Pracovník celního pátrání, Pracovník celní asistenční činnosti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Regulovaná jednotka práce:</w:t>
            </w:r>
          </w:p>
        </w:tc>
        <w:tc>
          <w:tcPr/>
          <w:p>
            <w:pPr/>
            <w:r>
              <w:rPr/>
              <w:t xml:space="preserve">Ano</w:t>
            </w:r>
          </w:p>
        </w:tc>
      </w:tr>
    </w:tbl>
    <w:p/>
    <w:p>
      <w:pPr>
        <w:pStyle w:val="Heading2"/>
      </w:pPr>
      <w:bookmarkStart w:id="2" w:name="_Toc2"/>
      <w:r>
        <w:t>CZ-ISCO</w:t>
      </w:r>
      <w:bookmarkEnd w:id="2"/>
    </w:p>
    <w:p>
      <w:pPr>
        <w:numPr>
          <w:ilvl w:val="0"/>
          <w:numId w:val="5"/>
        </w:numPr>
      </w:pPr>
      <w:r>
        <w:rPr/>
        <w:t xml:space="preserve">Ostatní pracovníci Celní správy ČR</w:t>
      </w:r>
    </w:p>
    <w:p>
      <w:pPr>
        <w:numPr>
          <w:ilvl w:val="0"/>
          <w:numId w:val="5"/>
        </w:numPr>
      </w:pPr>
      <w:r>
        <w:rPr/>
        <w:t xml:space="preserve">Pracovníci Celní správy ČR</w:t>
      </w:r>
    </w:p>
    <w:p/>
    <w:p>
      <w:pPr>
        <w:pStyle w:val="Heading3"/>
      </w:pPr>
      <w:bookmarkStart w:id="3" w:name="_Toc3"/>
      <w:r>
        <w:t>Hrubé měsíční mzdy v roce 2025 celkem</w:t>
      </w:r>
      <w:bookmarkEnd w:id="3"/>
    </w:p>
    <w:tbl>
      <w:tblGrid>
        <w:gridCol w:w="1000" w:type="dxa"/>
        <w:gridCol w:w="2000" w:type="dxa"/>
        <w:gridCol w:w="3000" w:type="dxa"/>
        <w:gridCol w:w="3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3000" w:type="dxa"/>
            <w:gridSpan w:val="2"/>
          </w:tcPr>
          <w:p/>
        </w:tc>
        <w:tc>
          <w:tcPr>
            <w:tcW w:w="6000" w:type="dxa"/>
            <w:gridSpan w:val="2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Medián za ČR celkem</w:t>
            </w:r>
          </w:p>
        </w:tc>
      </w:tr>
      <w:tr>
        <w:trPr/>
        <w:tc>
          <w:tcPr>
            <w:tcW w:w="1000" w:type="dxa"/>
          </w:tcPr>
          <w:p>
            <w:pPr/>
            <w:r>
              <w:rPr>
                <w:b w:val="1"/>
                <w:bCs w:val="1"/>
              </w:rPr>
              <w:t xml:space="preserve">CZ-ISCO</w:t>
            </w:r>
          </w:p>
        </w:tc>
        <w:tc>
          <w:tcPr>
            <w:tcW w:w="2000" w:type="dxa"/>
          </w:tcPr>
          <w:p/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Mzdová sféra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Platová sféra</w:t>
            </w:r>
          </w:p>
        </w:tc>
      </w:tr>
      <w:tr>
        <w:trPr/>
        <w:tc>
          <w:tcPr>
            <w:tcW w:w="1000" w:type="dxa"/>
          </w:tcPr>
          <w:p>
            <w:pPr>
              <w:jc w:val="center"/>
            </w:pPr>
            <w:r>
              <w:rPr/>
              <w:t xml:space="preserve">3351</w:t>
            </w:r>
          </w:p>
        </w:tc>
        <w:tc>
          <w:tcPr>
            <w:tcW w:w="2000" w:type="dxa"/>
          </w:tcPr>
          <w:p>
            <w:pPr/>
            <w:r>
              <w:rPr/>
              <w:t xml:space="preserve">Pracovníci Celní správy ČR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59 452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-</w:t>
            </w:r>
          </w:p>
        </w:tc>
      </w:tr>
    </w:tbl>
    <w:p/>
    <w:p>
      <w:pPr>
        <w:pStyle w:val="Heading2"/>
      </w:pPr>
      <w:bookmarkStart w:id="4" w:name="_Toc4"/>
      <w:r>
        <w:t>ESCO</w:t>
      </w:r>
      <w:bookmarkEnd w:id="4"/>
    </w:p>
    <w:tbl>
      <w:tblGrid>
        <w:gridCol w:w="3000" w:type="dxa"/>
        <w:gridCol w:w="3000" w:type="dxa"/>
        <w:gridCol w:w="3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 podskupiny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 podskupiny v ESCO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URL - podskupiny v ESCO</w:t>
            </w:r>
          </w:p>
        </w:tc>
      </w:tr>
      <w:tr>
        <w:trPr/>
        <w:tc>
          <w:tcPr>
            <w:tcW w:w="3000" w:type="dxa"/>
          </w:tcPr>
          <w:p>
            <w:pPr/>
            <w:r>
              <w:rPr/>
              <w:t xml:space="preserve">3351</w:t>
            </w:r>
          </w:p>
        </w:tc>
        <w:tc>
          <w:tcPr>
            <w:tcW w:w="3000" w:type="dxa"/>
          </w:tcPr>
          <w:p>
            <w:pPr/>
            <w:r>
              <w:rPr/>
              <w:t xml:space="preserve">Pracovníci celní a hraniční kontroly</w:t>
            </w:r>
          </w:p>
        </w:tc>
        <w:tc>
          <w:tcPr>
            <w:tcW w:w="3000" w:type="dxa"/>
          </w:tcPr>
          <w:p>
            <w:pPr/>
            <w:r>
              <w:rPr/>
              <w:t xml:space="preserve">http://data.europa.eu/esco/isco/C3351</w:t>
            </w:r>
          </w:p>
        </w:tc>
      </w:tr>
    </w:tbl>
    <w:p/>
    <w:p/>
    <w:p/>
    <w:p>
      <w:pPr>
        <w:pStyle w:val="Heading2"/>
      </w:pPr>
      <w:bookmarkStart w:id="5" w:name="_Toc5"/>
      <w:r>
        <w:t>Kvalifikace k výkonu povolání</w:t>
      </w:r>
      <w:bookmarkEnd w:id="5"/>
    </w:p>
    <w:p>
      <w:pPr>
        <w:pStyle w:val="Heading3"/>
      </w:pPr>
      <w:bookmarkStart w:id="6" w:name="_Toc6"/>
      <w:r>
        <w:t>Školní vzdělání</w:t>
      </w:r>
      <w:bookmarkEnd w:id="6"/>
    </w:p>
    <w:p/>
    <w:p>
      <w:pPr>
        <w:pStyle w:val="Heading4"/>
      </w:pPr>
      <w:bookmarkStart w:id="7" w:name="_Toc7"/>
      <w:r>
        <w:t>Nejvhodnější školní přípravu poskytují obory:</w:t>
      </w:r>
      <w:bookmarkEnd w:id="7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Typ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Střední vzdělání s maturitní zkouškou (bez vyučení) v oboru veřejnosprávní činnost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6843M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RVP</w:t>
            </w:r>
          </w:p>
        </w:tc>
        <w:tc>
          <w:tcPr>
            <w:tcW w:w="5000" w:type="dxa"/>
          </w:tcPr>
          <w:p>
            <w:pPr/>
            <w:r>
              <w:rPr/>
              <w:t xml:space="preserve">Bezpečnostně právní činnost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68-42-M/01</w:t>
            </w:r>
          </w:p>
        </w:tc>
      </w:tr>
    </w:tbl>
    <w:p/>
    <w:p>
      <w:pPr>
        <w:pStyle w:val="Heading4"/>
      </w:pPr>
      <w:bookmarkStart w:id="8" w:name="_Toc8"/>
      <w:r>
        <w:t>Vhodnou školní přípravu poskytují také obory:</w:t>
      </w:r>
      <w:bookmarkEnd w:id="8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Typ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Střední vzdělání s maturitní zkouškou (bez vyučení)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xxxxM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Střední vzdělání s maturitní zkouškou (bez vyučení) ve skupině oborů právo, právní a veřejnosprávní činnost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68xxM</w:t>
            </w:r>
          </w:p>
        </w:tc>
      </w:tr>
    </w:tbl>
    <w:p/>
    <w:p>
      <w:pPr>
        <w:pStyle w:val="Heading2"/>
      </w:pPr>
      <w:bookmarkStart w:id="9" w:name="_Toc9"/>
      <w:r>
        <w:t>Kompetenční požadavky</w:t>
      </w:r>
      <w:bookmarkEnd w:id="9"/>
    </w:p>
    <w:p>
      <w:pPr>
        <w:pStyle w:val="Heading3"/>
      </w:pPr>
      <w:bookmarkStart w:id="10" w:name="_Toc10"/>
      <w:r>
        <w:t>Odborné dovednosti</w:t>
      </w:r>
      <w:bookmarkEnd w:id="10"/>
    </w:p>
    <w:tbl>
      <w:tblGrid>
        <w:gridCol w:w="2000" w:type="dxa"/>
        <w:gridCol w:w="3000" w:type="dxa"/>
        <w:gridCol w:w="2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1-8</w:t>
            </w:r>
          </w:p>
        </w:tc>
        <w:tc>
          <w:tcPr>
            <w:tcW w:w="2000" w:type="dxa"/>
          </w:tcPr>
          <w:p>
            <w:pPr/>
            <w:r>
              <w:rPr>
                <w:b w:val="1"/>
                <w:bCs w:val="1"/>
              </w:rPr>
              <w:t xml:space="preserve">Vhodnost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l21.D.2522</w:t>
            </w:r>
          </w:p>
        </w:tc>
        <w:tc>
          <w:tcPr>
            <w:tcW w:w="3000" w:type="dxa"/>
          </w:tcPr>
          <w:p>
            <w:pPr/>
            <w:r>
              <w:rPr/>
              <w:t xml:space="preserve">Stanovování bezpečnostních opatření při převozu finanční hotovosti a kurýrní přepravě zásilek utajované povahy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l21.D.3072</w:t>
            </w:r>
          </w:p>
        </w:tc>
        <w:tc>
          <w:tcPr>
            <w:tcW w:w="3000" w:type="dxa"/>
          </w:tcPr>
          <w:p>
            <w:pPr/>
            <w:r>
              <w:rPr/>
              <w:t xml:space="preserve">Provádění kontrol zboží a dopravních prostředků dle pokynů příslušného celního úřadu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l21.D.8116</w:t>
            </w:r>
          </w:p>
        </w:tc>
        <w:tc>
          <w:tcPr>
            <w:tcW w:w="3000" w:type="dxa"/>
          </w:tcPr>
          <w:p>
            <w:pPr/>
            <w:r>
              <w:rPr/>
              <w:t xml:space="preserve">Vedení evidence související s odběry vzorků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l21.D.8521</w:t>
            </w:r>
          </w:p>
        </w:tc>
        <w:tc>
          <w:tcPr>
            <w:tcW w:w="3000" w:type="dxa"/>
          </w:tcPr>
          <w:p>
            <w:pPr/>
            <w:r>
              <w:rPr/>
              <w:t xml:space="preserve">Vedení příslušné dokumentace v oblasti celního ozbrojeného doprovodu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l21.E.2521</w:t>
            </w:r>
          </w:p>
        </w:tc>
        <w:tc>
          <w:tcPr>
            <w:tcW w:w="3000" w:type="dxa"/>
          </w:tcPr>
          <w:p>
            <w:pPr/>
            <w:r>
              <w:rPr/>
              <w:t xml:space="preserve">Zajišťování ozbrojeného doprovodu při přepravě určených druhů zboží, kurýrních zásilek a utajovaných zpráv v rámci celních orgánů a územních finančních orgánů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l21.E.2522</w:t>
            </w:r>
          </w:p>
        </w:tc>
        <w:tc>
          <w:tcPr>
            <w:tcW w:w="3000" w:type="dxa"/>
          </w:tcPr>
          <w:p>
            <w:pPr/>
            <w:r>
              <w:rPr/>
              <w:t xml:space="preserve">Zajišťování ozbrojené ostrahy a ochrany objektů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l21.E.2523</w:t>
            </w:r>
          </w:p>
        </w:tc>
        <w:tc>
          <w:tcPr>
            <w:tcW w:w="3000" w:type="dxa"/>
          </w:tcPr>
          <w:p>
            <w:pPr/>
            <w:r>
              <w:rPr/>
              <w:t xml:space="preserve">Zajišťování a předvádění osob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https://nsp.cz/downloads/Priloha_c2_manualu.pdf</w:t>
      </w:r>
    </w:p>
    <w:p/>
    <w:p>
      <w:pPr>
        <w:pStyle w:val="Heading3"/>
      </w:pPr>
      <w:bookmarkStart w:id="11" w:name="_Toc11"/>
      <w:r>
        <w:t>Odborné znalosti</w:t>
      </w:r>
      <w:bookmarkEnd w:id="11"/>
    </w:p>
    <w:tbl>
      <w:tblGrid>
        <w:gridCol w:w="2000" w:type="dxa"/>
        <w:gridCol w:w="3000" w:type="dxa"/>
        <w:gridCol w:w="2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1-8</w:t>
            </w:r>
          </w:p>
        </w:tc>
        <w:tc>
          <w:tcPr>
            <w:tcW w:w="2000" w:type="dxa"/>
          </w:tcPr>
          <w:p>
            <w:pPr/>
            <w:r>
              <w:rPr>
                <w:b w:val="1"/>
                <w:bCs w:val="1"/>
              </w:rPr>
              <w:t xml:space="preserve">Vhodnost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l21._.0007</w:t>
            </w:r>
          </w:p>
        </w:tc>
        <w:tc>
          <w:tcPr>
            <w:tcW w:w="3000" w:type="dxa"/>
          </w:tcPr>
          <w:p>
            <w:pPr/>
            <w:r>
              <w:rPr/>
              <w:t xml:space="preserve">činnost cizinecké policie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l21._.0011</w:t>
            </w:r>
          </w:p>
        </w:tc>
        <w:tc>
          <w:tcPr>
            <w:tcW w:w="3000" w:type="dxa"/>
          </w:tcPr>
          <w:p>
            <w:pPr/>
            <w:r>
              <w:rPr/>
              <w:t xml:space="preserve">celní kontrola, vybírání cla a souvisejících poplatků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l21._.0052</w:t>
            </w:r>
          </w:p>
        </w:tc>
        <w:tc>
          <w:tcPr>
            <w:tcW w:w="3000" w:type="dxa"/>
          </w:tcPr>
          <w:p>
            <w:pPr/>
            <w:r>
              <w:rPr/>
              <w:t xml:space="preserve">osobní ochrana, ozbrojený doprovod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https://nsp.cz/downloads/Priloha_c2_manualu.pdf</w:t>
      </w:r>
    </w:p>
    <w:p/>
    <w:p>
      <w:pPr>
        <w:pStyle w:val="Heading3"/>
      </w:pPr>
      <w:bookmarkStart w:id="12" w:name="_Toc12"/>
      <w:r>
        <w:t>Digitální kompetence</w:t>
      </w:r>
      <w:bookmarkEnd w:id="12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1-4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1.1</w:t>
            </w:r>
          </w:p>
        </w:tc>
        <w:tc>
          <w:tcPr>
            <w:tcW w:w="5000" w:type="dxa"/>
          </w:tcPr>
          <w:p>
            <w:pPr/>
            <w:r>
              <w:rPr/>
              <w:t xml:space="preserve">Prohlížení, vyhledávání a filtrování dat, informací 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5.2</w:t>
            </w:r>
          </w:p>
        </w:tc>
        <w:tc>
          <w:tcPr>
            <w:tcW w:w="5000" w:type="dxa"/>
          </w:tcPr>
          <w:p>
            <w:pPr/>
            <w:r>
              <w:rPr/>
              <w:t xml:space="preserve">Identifikace potřeb a výběr vhodných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5.1</w:t>
            </w:r>
          </w:p>
        </w:tc>
        <w:tc>
          <w:tcPr>
            <w:tcW w:w="5000" w:type="dxa"/>
          </w:tcPr>
          <w:p>
            <w:pPr/>
            <w:r>
              <w:rPr/>
              <w:t xml:space="preserve">Řešení technických problémů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4.4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životního prostředí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4.3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zdraví a duševní pohody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4.2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osobních dat a soukromí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4.1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zařízení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3.3</w:t>
            </w:r>
          </w:p>
        </w:tc>
        <w:tc>
          <w:tcPr>
            <w:tcW w:w="5000" w:type="dxa"/>
          </w:tcPr>
          <w:p>
            <w:pPr/>
            <w:r>
              <w:rPr/>
              <w:t xml:space="preserve">Autorská práva a licence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3.2</w:t>
            </w:r>
          </w:p>
        </w:tc>
        <w:tc>
          <w:tcPr>
            <w:tcW w:w="5000" w:type="dxa"/>
          </w:tcPr>
          <w:p>
            <w:pPr/>
            <w:r>
              <w:rPr/>
              <w:t xml:space="preserve">Integrace a přepracování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3.1</w:t>
            </w:r>
          </w:p>
        </w:tc>
        <w:tc>
          <w:tcPr>
            <w:tcW w:w="5000" w:type="dxa"/>
          </w:tcPr>
          <w:p>
            <w:pPr/>
            <w:r>
              <w:rPr/>
              <w:t xml:space="preserve">Tvorba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2.5</w:t>
            </w:r>
          </w:p>
        </w:tc>
        <w:tc>
          <w:tcPr>
            <w:tcW w:w="5000" w:type="dxa"/>
          </w:tcPr>
          <w:p>
            <w:pPr/>
            <w:r>
              <w:rPr/>
              <w:t xml:space="preserve">Netiketa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2.4</w:t>
            </w:r>
          </w:p>
        </w:tc>
        <w:tc>
          <w:tcPr>
            <w:tcW w:w="5000" w:type="dxa"/>
          </w:tcPr>
          <w:p>
            <w:pPr/>
            <w:r>
              <w:rPr/>
              <w:t xml:space="preserve">Spolupráce prostřednictvím digitálních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2.2</w:t>
            </w:r>
          </w:p>
        </w:tc>
        <w:tc>
          <w:tcPr>
            <w:tcW w:w="5000" w:type="dxa"/>
          </w:tcPr>
          <w:p>
            <w:pPr/>
            <w:r>
              <w:rPr/>
              <w:t xml:space="preserve">Sdílení prostřednictvím digitálních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2.1</w:t>
            </w:r>
          </w:p>
        </w:tc>
        <w:tc>
          <w:tcPr>
            <w:tcW w:w="5000" w:type="dxa"/>
          </w:tcPr>
          <w:p>
            <w:pPr/>
            <w:r>
              <w:rPr/>
              <w:t xml:space="preserve">Interakce prostřednictvím digitálních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1.3</w:t>
            </w:r>
          </w:p>
        </w:tc>
        <w:tc>
          <w:tcPr>
            <w:tcW w:w="5000" w:type="dxa"/>
          </w:tcPr>
          <w:p>
            <w:pPr/>
            <w:r>
              <w:rPr/>
              <w:t xml:space="preserve">Správa dat, informací 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1.2</w:t>
            </w:r>
          </w:p>
        </w:tc>
        <w:tc>
          <w:tcPr>
            <w:tcW w:w="5000" w:type="dxa"/>
          </w:tcPr>
          <w:p>
            <w:pPr/>
            <w:r>
              <w:rPr/>
              <w:t xml:space="preserve">Hodnocení dat, informací 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5.4</w:t>
            </w:r>
          </w:p>
        </w:tc>
        <w:tc>
          <w:tcPr>
            <w:tcW w:w="5000" w:type="dxa"/>
          </w:tcPr>
          <w:p>
            <w:pPr/>
            <w:r>
              <w:rPr/>
              <w:t xml:space="preserve">Identifikace nedostatků v digitálních kompetencích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https://nsp.cz/downloads/Priloha_c15_manualu.pdf</w:t>
      </w:r>
    </w:p>
    <w:p/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https://nsp.cz/downloads/Priloha_c9_manualu.pdf</w:t>
      </w:r>
    </w:p>
    <w:p/>
    <w:p>
      <w:pPr>
        <w:pStyle w:val="Heading2"/>
      </w:pPr>
      <w:bookmarkStart w:id="13" w:name="_Toc13"/>
      <w:r>
        <w:t>Zdravotní podmínky</w:t>
      </w:r>
      <w:bookmarkEnd w:id="13"/>
    </w:p>
    <w:p>
      <w:pPr>
        <w:pStyle w:val="Heading3"/>
      </w:pPr>
      <w:bookmarkStart w:id="14" w:name="_Toc14"/>
      <w:r>
        <w:t>Onemocnění omezující výkon povolání / specializace povolání.</w:t>
      </w:r>
      <w:bookmarkEnd w:id="14"/>
    </w:p>
    <w:p>
      <w:pPr>
        <w:numPr>
          <w:ilvl w:val="0"/>
          <w:numId w:val="5"/>
        </w:numPr>
      </w:pPr>
      <w:r>
        <w:rPr/>
        <w:t xml:space="preserve">Závrať jakékoliv etiologie</w:t>
      </w:r>
    </w:p>
    <w:p>
      <w:pPr>
        <w:numPr>
          <w:ilvl w:val="0"/>
          <w:numId w:val="5"/>
        </w:numPr>
      </w:pPr>
      <w:r>
        <w:rPr/>
        <w:t xml:space="preserve">Duševní poruchy a poruchy chování</w:t>
      </w:r>
    </w:p>
    <w:p>
      <w:pPr>
        <w:numPr>
          <w:ilvl w:val="0"/>
          <w:numId w:val="5"/>
        </w:numPr>
      </w:pPr>
      <w:r>
        <w:rPr/>
        <w:t xml:space="preserve">Drogová závislost v anamnéze</w:t>
      </w:r>
    </w:p>
    <w:p>
      <w:pPr>
        <w:pStyle w:val="Heading3"/>
      </w:pPr>
      <w:bookmarkStart w:id="15" w:name="_Toc15"/>
      <w:r>
        <w:t>Onemocnění vylučující výkon povolání / specializace povolání.e</w:t>
      </w:r>
      <w:bookmarkEnd w:id="15"/>
    </w:p>
    <w:p>
      <w:pPr>
        <w:numPr>
          <w:ilvl w:val="0"/>
          <w:numId w:val="5"/>
        </w:numPr>
      </w:pPr>
      <w:r>
        <w:rPr/>
        <w:t xml:space="preserve">Záchvatovité a kolapsové stavy</w:t>
      </w:r>
    </w:p>
    <w:p>
      <w:pPr/>
      <w:r>
        <w:rPr>
          <w:sz w:val="16"/>
          <w:szCs w:val="16"/>
          <w:i w:val="1"/>
          <w:iCs w:val="1"/>
        </w:rPr>
        <w:t xml:space="preserve">Přesné posouzení zdravotního stavu s následným doporučením nebo nedoporučením výkonu této pozice je možné pouze po konzultaci s lékařem.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5">
    <w:nsid w:val="6C590CA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5">
    <w:abstractNumId w:val="5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spacing w:after="120"/>
    </w:pPr>
    <w:rPr>
      <w:sz w:val="40"/>
      <w:szCs w:val="40"/>
      <w:b w:val="1"/>
      <w:bCs w:val="1"/>
    </w:rPr>
  </w:style>
  <w:style w:type="paragraph" w:styleId="Heading2">
    <w:link w:val="Heading2Char"/>
    <w:name w:val="heading 2"/>
    <w:basedOn w:val="Normal"/>
    <w:pPr>
      <w:spacing w:after="80"/>
    </w:pPr>
    <w:rPr>
      <w:sz w:val="28"/>
      <w:szCs w:val="28"/>
      <w:b w:val="1"/>
      <w:bCs w:val="1"/>
    </w:rPr>
  </w:style>
  <w:style w:type="paragraph" w:styleId="Heading3">
    <w:link w:val="Heading3Char"/>
    <w:name w:val="heading 3"/>
    <w:basedOn w:val="Normal"/>
    <w:pPr>
      <w:spacing w:after="60"/>
    </w:pPr>
    <w:rPr>
      <w:sz w:val="24"/>
      <w:szCs w:val="24"/>
      <w:b w:val="1"/>
      <w:bCs w:val="1"/>
    </w:rPr>
  </w:style>
  <w:style w:type="paragraph" w:styleId="Heading4">
    <w:link w:val="Heading4Char"/>
    <w:name w:val="heading 4"/>
    <w:basedOn w:val="Normal"/>
    <w:pPr>
      <w:spacing w:after="60"/>
    </w:pPr>
    <w:rPr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FDV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NSP.CZ</dc:creator>
  <dc:title>Pracovník celní asistenční činnosti</dc:title>
  <dc:description>Pracovník celní asistenční činnosti zajišťuje ozbrojený doprovod určených druhů zboží a vykonává další odborné činnosti na tomto úseku.
Toto povolání je vykonáváno v souladu se zákonem č. 17/2012 Sb., o Celní správě České republiky, zákonem č. 361/2003 Sb., o služebním poměru příslušníků bezpečnostních sborů a vyhláškou č. 393/2006 Sb., o zdravotní způsobilosti.
Jednotka práce bude aktualizována v souladu s platnou legislativou v průběhu roku 2019 – 2020.</dc:description>
  <dc:subject/>
  <cp:keywords/>
  <cp:category>Specializace</cp:category>
  <cp:lastModifiedBy/>
  <dcterms:created xsi:type="dcterms:W3CDTF">2017-11-22T09:28:13+01:00</dcterms:created>
  <dcterms:modified xsi:type="dcterms:W3CDTF">2017-11-22T09:43:38+01:00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