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nakládacích a vykládacích kolových a pásových</w:t>
      </w:r>
      <w:bookmarkEnd w:id="1"/>
    </w:p>
    <w:p>
      <w:pPr/>
      <w:r>
        <w:rPr/>
        <w:t xml:space="preserve">Obsluha stavebních strojů nakládacích a vykládacích kolových a pásových obsluhuje všechny typy nakladačů kolových a pásových při nakládání štěrků, stavební suti, ornice a různých druhů zemin.</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nakládacích a vykládacích strojů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nakladače (lopaty) podle projektové dokumentace.</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nakládání (na korbu vozidla, do zásobníků apod.).</w:t>
      </w:r>
    </w:p>
    <w:p>
      <w:pPr>
        <w:numPr>
          <w:ilvl w:val="0"/>
          <w:numId w:val="5"/>
        </w:numPr>
      </w:pPr>
      <w:r>
        <w:rPr/>
        <w:t xml:space="preserve">Seřízení pracovního zařízení podle druhu nakládaného materiálu.</w:t>
      </w:r>
    </w:p>
    <w:p>
      <w:pPr>
        <w:numPr>
          <w:ilvl w:val="0"/>
          <w:numId w:val="5"/>
        </w:numPr>
      </w:pPr>
      <w:r>
        <w:rPr/>
        <w:t xml:space="preserve">Kontrola splnění požadavků BOZP.</w:t>
      </w:r>
    </w:p>
    <w:p>
      <w:pPr>
        <w:numPr>
          <w:ilvl w:val="0"/>
          <w:numId w:val="5"/>
        </w:numPr>
      </w:pPr>
      <w:r>
        <w:rPr/>
        <w:t xml:space="preserve">Obsluha stavebního nakladače.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Evidence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g12.B.5625</w:t>
            </w:r>
          </w:p>
        </w:tc>
        <w:tc>
          <w:tcPr>
            <w:tcW w:w="3000" w:type="dxa"/>
          </w:tcPr>
          <w:p>
            <w:pPr/>
            <w:r>
              <w:rPr/>
              <w:t xml:space="preserve">Ošetřování a údržba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g12.B.5626</w:t>
            </w:r>
          </w:p>
        </w:tc>
        <w:tc>
          <w:tcPr>
            <w:tcW w:w="3000" w:type="dxa"/>
          </w:tcPr>
          <w:p>
            <w:pPr/>
            <w:r>
              <w:rPr/>
              <w:t xml:space="preserve">Řízení a obsluha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g12.D.2588</w:t>
            </w:r>
          </w:p>
        </w:tc>
        <w:tc>
          <w:tcPr>
            <w:tcW w:w="3000" w:type="dxa"/>
          </w:tcPr>
          <w:p>
            <w:pPr/>
            <w:r>
              <w:rPr/>
              <w:t xml:space="preserve">Volba postupu práce a technologických podmínek při přemisťování materiálu při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g12.D.2589</w:t>
            </w:r>
          </w:p>
        </w:tc>
        <w:tc>
          <w:tcPr>
            <w:tcW w:w="3000" w:type="dxa"/>
          </w:tcPr>
          <w:p>
            <w:pPr/>
            <w:r>
              <w:rPr/>
              <w:t xml:space="preserve">Orientace v technických podkladech a návodech pro obsluhu nakládacích a vykládacích strojů kolových a pásových</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g12._.0018</w:t>
            </w:r>
          </w:p>
        </w:tc>
        <w:tc>
          <w:tcPr>
            <w:tcW w:w="3000" w:type="dxa"/>
          </w:tcPr>
          <w:p>
            <w:pPr/>
            <w:r>
              <w:rPr/>
              <w:t xml:space="preserve">principy obsluhy a řízení kolových a pásových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6CE3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nakládacích a vykládacích kolových a pásových</dc:title>
  <dc:description>Obsluha stavebních strojů nakládacích a vykládacích kolových a pásových obsluhuje všechny typy nakladačů kolových a pásových při nakládání štěrků, stavební suti, ornice a různých druhů zemin.</dc:description>
  <dc:subject/>
  <cp:keywords/>
  <cp:category>Specializace</cp:category>
  <cp:lastModifiedBy/>
  <dcterms:created xsi:type="dcterms:W3CDTF">2017-11-22T09:27:00+01:00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