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 odbornou způsobilostí</w:t>
      </w:r>
      <w:bookmarkEnd w:id="1"/>
    </w:p>
    <w:p>
      <w:pPr/>
      <w:r>
        <w:rPr/>
        <w:t xml:space="preserve">Farmaceut s odbornou způsobilostí samostatně poskytuje v rozsahu zákona č. 372/2011 Sb., o zdravotních službách, lékárenskou péči s výjimkou činností, k jejichž samostatnému výkonu je podmínkou získání specializované způsobilosti. Farmaceut dále vykonává činnosti při výrobě a kontrole léčiv a při skladování a distribuci léčiv u distributora léčiv, také metodickou, koncepční, výzkumnou a vývojovou činnost v oblasti zdravotnictví.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bez specializace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AB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 odbornou způsobilostí</dc:title>
  <dc:description>Farmaceut s odbornou způsobilostí samostatně poskytuje v rozsahu zákona č. 372/2011 Sb., o zdravotních službách, lékárenskou péči s výjimkou činností, k jejichž samostatnému výkonu je podmínkou získání specializované způsobilosti. Farmaceut dále vykonává činnosti při výrobě a kontrole léčiv a při skladování a distribuci léčiv u distributora léčiv, také metodickou, koncepční, výzkumnou a vývojovou činnost v oblasti zdravotnictví.</dc:description>
  <dc:subject/>
  <cp:keywords/>
  <cp:category>Povolání</cp:category>
  <cp:lastModifiedBy/>
  <dcterms:created xsi:type="dcterms:W3CDTF">2017-11-22T09:23:57+01:00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