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nemocenského pojištění</w:t>
      </w:r>
      <w:bookmarkEnd w:id="1"/>
    </w:p>
    <w:p>
      <w:pPr/>
      <w:r>
        <w:rPr/>
        <w:t xml:space="preserve">Odborný referent nemocenského pojištění koordinuje a usměrňuje provádění nemocenského pojištění ve vymezené územní působnosti. Rozhoduje sporné a zvlášť složité případy dávkové agendy a určuje způsob jejich vyřízení.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nemocenského pojištění ve vymezené územní působnosti.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dávkové agendy a určování způsobu jejich vyřízení.</w:t>
      </w:r>
    </w:p>
    <w:p>
      <w:pPr>
        <w:numPr>
          <w:ilvl w:val="0"/>
          <w:numId w:val="5"/>
        </w:numPr>
      </w:pPr>
      <w:r>
        <w:rPr/>
        <w:t xml:space="preserve">Rozhodování na základě posudku lékaře posudkové služby o ukončení pracovní neschopnosti a zpracovávání podkladových stanovisek pro odvolací řízení v této věci.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provádění nemocenského pojištění ve vymezené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dávkové agendy a určování způsobu jejich vyřízení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ukončení pracovní neschopnosti a zpracovávání podkladových stanovisek pro příslušné odvolací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691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nemocenského pojištění</dc:title>
  <dc:description>Odborný referent nemocenského pojištění koordinuje a usměrňuje provádění nemocenského pojištění ve vymezené územní působnosti. Rozhoduje sporné a zvlášť složité případy dávkové agendy a určuje způsob jejich vyřízení.</dc:description>
  <dc:subject/>
  <cp:keywords/>
  <cp:category>Specializace</cp:category>
  <cp:lastModifiedBy/>
  <dcterms:created xsi:type="dcterms:W3CDTF">2017-11-22T09:19:35+01:00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