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státní správy v oblasti taxislužby</w:t>
      </w:r>
      <w:bookmarkEnd w:id="1"/>
    </w:p>
    <w:p>
      <w:pPr/>
      <w:r>
        <w:rPr/>
        <w:t xml:space="preserve">Metodik státní správy v oblasti taxislužby zajišťuje koncepční, metodickou a normotvornou činnost příslušející ústřednímu orgánu státní správy v oblasti taxislužby.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metodická a normotvorná činnost příslušející ústřednímu orgánu státní správy v oblasti taxislužby.</w:t>
      </w:r>
    </w:p>
    <w:p>
      <w:pPr>
        <w:numPr>
          <w:ilvl w:val="0"/>
          <w:numId w:val="5"/>
        </w:numPr>
      </w:pPr>
      <w:r>
        <w:rPr/>
        <w:t xml:space="preserve">Tvorba materiálů pro utváření politiky vývoje v oblasti taxislužby.</w:t>
      </w:r>
    </w:p>
    <w:p>
      <w:pPr>
        <w:numPr>
          <w:ilvl w:val="0"/>
          <w:numId w:val="5"/>
        </w:numPr>
      </w:pPr>
      <w:r>
        <w:rPr/>
        <w:t xml:space="preserve">Správní řízení v oblasti taxislužby včetně zastupování ústředních orgánů v soudních sporech.</w:t>
      </w:r>
    </w:p>
    <w:p>
      <w:pPr>
        <w:numPr>
          <w:ilvl w:val="0"/>
          <w:numId w:val="5"/>
        </w:numPr>
      </w:pPr>
      <w:r>
        <w:rPr/>
        <w:t xml:space="preserve">Spolupráce s dopravními úřady s cílem jednotného postupu výkonu státní správy a státního odborného dozoru v taxislužbě.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regulace tarifů v železniční a silniční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při hodnocení dopravní obslužnosti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BFF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státní správy v oblasti taxislužby</dc:title>
  <dc:description>Metodik státní správy v oblasti taxislužby zajišťuje koncepční, metodickou a normotvornou činnost příslušející ústřednímu orgánu státní správy v oblasti taxislužby.</dc:description>
  <dc:subject/>
  <cp:keywords/>
  <cp:category>Specializace</cp:category>
  <cp:lastModifiedBy/>
  <dcterms:created xsi:type="dcterms:W3CDTF">2017-11-22T09:18:05+01:00</dcterms:created>
  <dcterms:modified xsi:type="dcterms:W3CDTF">2017-11-22T09:43:15+01:00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