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čištění odpadních vod</w:t>
      </w:r>
      <w:bookmarkEnd w:id="1"/>
    </w:p>
    <w:p>
      <w:pPr/>
      <w:r>
        <w:rPr/>
        <w:t xml:space="preserve">Vodárenský samostatný technik čištění odpadních vod řídí provoz čištění odpadních vod, zpracování kalu a proces likvidace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Sestavování plánů hospodaření čistírny odpadních vod a jejich dodržování.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předpisů a postupů a dodržování provozního řádu při čištění odpadních vod.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Kontrola nastavených parametrů technologie.</w:t>
      </w:r>
    </w:p>
    <w:p>
      <w:pPr>
        <w:numPr>
          <w:ilvl w:val="0"/>
          <w:numId w:val="5"/>
        </w:numPr>
      </w:pPr>
      <w:r>
        <w:rPr/>
        <w:t xml:space="preserve">Zajišťování laboratorních rozborů odpadních vod.</w:t>
      </w:r>
    </w:p>
    <w:p>
      <w:pPr>
        <w:numPr>
          <w:ilvl w:val="0"/>
          <w:numId w:val="5"/>
        </w:numPr>
      </w:pPr>
      <w:r>
        <w:rPr/>
        <w:t xml:space="preserve">Zpracování návrhů včetně realizace opatření ke kontinuálnímu zvyšování úrovně funkce čistírny odpadních vod.</w:t>
      </w:r>
    </w:p>
    <w:p>
      <w:pPr>
        <w:numPr>
          <w:ilvl w:val="0"/>
          <w:numId w:val="5"/>
        </w:numPr>
      </w:pPr>
      <w:r>
        <w:rPr/>
        <w:t xml:space="preserve">Spolupráce na technickém řešení nových investic do technologie.</w:t>
      </w:r>
    </w:p>
    <w:p>
      <w:pPr>
        <w:numPr>
          <w:ilvl w:val="0"/>
          <w:numId w:val="5"/>
        </w:numPr>
      </w:pPr>
      <w:r>
        <w:rPr/>
        <w:t xml:space="preserve">Rozbory a kontrola oprávněnosti a správnosti fakturace dodavatelů.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5A6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čištění odpadních vod</dc:title>
  <dc:description>Vodárenský samostatný technik čištění odpadních vod řídí provoz čištění odpadních vod, zpracování kalu a proces likvidace odpadů.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